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91" w:rsidRDefault="00C56891" w:rsidP="00295DB1">
      <w:pPr>
        <w:jc w:val="both"/>
        <w:rPr>
          <w:rFonts w:asciiTheme="majorHAnsi" w:hAnsiTheme="majorHAnsi"/>
          <w:color w:val="000000"/>
          <w:sz w:val="22"/>
          <w:szCs w:val="22"/>
        </w:rPr>
      </w:pPr>
    </w:p>
    <w:p w:rsidR="00295DB1" w:rsidRPr="00295DB1" w:rsidRDefault="00765812" w:rsidP="00295DB1">
      <w:pPr>
        <w:spacing w:after="200"/>
        <w:jc w:val="right"/>
        <w:rPr>
          <w:rFonts w:ascii="Calibri" w:hAnsi="Calibri"/>
          <w:color w:val="000000"/>
          <w:sz w:val="16"/>
          <w:szCs w:val="22"/>
          <w:lang w:val="es-CR" w:eastAsia="es-CR"/>
        </w:rPr>
      </w:pPr>
      <w:r>
        <w:rPr>
          <w:rFonts w:ascii="Calibri" w:hAnsi="Calibri"/>
          <w:color w:val="000000"/>
          <w:sz w:val="16"/>
          <w:szCs w:val="22"/>
          <w:lang w:val="es-CR" w:eastAsia="es-CR"/>
        </w:rPr>
        <w:t>0</w:t>
      </w:r>
      <w:r w:rsidR="00465590">
        <w:rPr>
          <w:rFonts w:ascii="Calibri" w:hAnsi="Calibri"/>
          <w:color w:val="000000"/>
          <w:sz w:val="16"/>
          <w:szCs w:val="22"/>
          <w:lang w:val="es-CR" w:eastAsia="es-CR"/>
        </w:rPr>
        <w:t>7</w:t>
      </w:r>
      <w:r w:rsidR="00295DB1" w:rsidRPr="00295DB1">
        <w:rPr>
          <w:rFonts w:ascii="Calibri" w:hAnsi="Calibri"/>
          <w:color w:val="000000"/>
          <w:sz w:val="16"/>
          <w:szCs w:val="22"/>
          <w:lang w:val="es-CR" w:eastAsia="es-CR"/>
        </w:rPr>
        <w:t>-</w:t>
      </w:r>
      <w:r w:rsidR="00465590">
        <w:rPr>
          <w:rFonts w:ascii="Calibri" w:hAnsi="Calibri"/>
          <w:color w:val="000000"/>
          <w:sz w:val="16"/>
          <w:szCs w:val="22"/>
          <w:lang w:val="es-CR" w:eastAsia="es-CR"/>
        </w:rPr>
        <w:t>11-2012</w:t>
      </w:r>
    </w:p>
    <w:p w:rsidR="00D43E0A" w:rsidRPr="00D43E0A" w:rsidRDefault="00376365" w:rsidP="00D43E0A">
      <w:pPr>
        <w:autoSpaceDE w:val="0"/>
        <w:autoSpaceDN w:val="0"/>
        <w:adjustRightInd w:val="0"/>
        <w:spacing w:after="120"/>
        <w:ind w:left="720"/>
        <w:contextualSpacing/>
        <w:jc w:val="center"/>
        <w:rPr>
          <w:rFonts w:ascii="Calibri" w:hAnsi="Calibri"/>
          <w:b/>
          <w:sz w:val="36"/>
          <w:szCs w:val="34"/>
          <w:lang w:val="es-CR" w:eastAsia="es-CR"/>
        </w:rPr>
      </w:pPr>
      <w:r>
        <w:rPr>
          <w:rFonts w:ascii="Calibri" w:hAnsi="Calibri"/>
          <w:b/>
          <w:sz w:val="36"/>
          <w:szCs w:val="34"/>
          <w:lang w:val="es-CR" w:eastAsia="es-CR"/>
        </w:rPr>
        <w:t xml:space="preserve">Sugese autoriza tarifas del SOA </w:t>
      </w:r>
      <w:r w:rsidR="00573257">
        <w:rPr>
          <w:rFonts w:ascii="Calibri" w:hAnsi="Calibri"/>
          <w:b/>
          <w:sz w:val="36"/>
          <w:szCs w:val="34"/>
          <w:lang w:val="es-CR" w:eastAsia="es-CR"/>
        </w:rPr>
        <w:t xml:space="preserve">para el </w:t>
      </w:r>
      <w:r>
        <w:rPr>
          <w:rFonts w:ascii="Calibri" w:hAnsi="Calibri"/>
          <w:b/>
          <w:sz w:val="36"/>
          <w:szCs w:val="34"/>
          <w:lang w:val="es-CR" w:eastAsia="es-CR"/>
        </w:rPr>
        <w:t>2013</w:t>
      </w:r>
    </w:p>
    <w:p w:rsidR="00D43E0A" w:rsidRPr="00D43E0A" w:rsidRDefault="00D43E0A" w:rsidP="00D43E0A">
      <w:pPr>
        <w:autoSpaceDE w:val="0"/>
        <w:autoSpaceDN w:val="0"/>
        <w:adjustRightInd w:val="0"/>
        <w:spacing w:after="120"/>
        <w:ind w:left="720"/>
        <w:contextualSpacing/>
        <w:rPr>
          <w:rFonts w:ascii="Calibri" w:hAnsi="Calibri"/>
          <w:b/>
          <w:szCs w:val="22"/>
          <w:lang w:val="es-CR" w:eastAsia="es-CR"/>
        </w:rPr>
      </w:pPr>
    </w:p>
    <w:p w:rsidR="00295DB1" w:rsidRDefault="00EE0514" w:rsidP="00D43E0A">
      <w:pPr>
        <w:numPr>
          <w:ilvl w:val="0"/>
          <w:numId w:val="2"/>
        </w:numPr>
        <w:autoSpaceDE w:val="0"/>
        <w:autoSpaceDN w:val="0"/>
        <w:adjustRightInd w:val="0"/>
        <w:spacing w:after="120"/>
        <w:contextualSpacing/>
        <w:rPr>
          <w:rFonts w:ascii="Calibri" w:hAnsi="Calibri"/>
          <w:i/>
          <w:sz w:val="22"/>
          <w:szCs w:val="22"/>
          <w:lang w:val="es-CR" w:eastAsia="es-CR"/>
        </w:rPr>
      </w:pPr>
      <w:r>
        <w:rPr>
          <w:rFonts w:ascii="Calibri" w:hAnsi="Calibri"/>
          <w:i/>
          <w:sz w:val="22"/>
          <w:szCs w:val="22"/>
          <w:lang w:val="es-CR" w:eastAsia="es-CR"/>
        </w:rPr>
        <w:t>Se observa un incremento en el costo de los siniestros</w:t>
      </w:r>
    </w:p>
    <w:p w:rsidR="00376365" w:rsidRPr="00D43E0A" w:rsidRDefault="00EE0514" w:rsidP="00D43E0A">
      <w:pPr>
        <w:numPr>
          <w:ilvl w:val="0"/>
          <w:numId w:val="2"/>
        </w:numPr>
        <w:autoSpaceDE w:val="0"/>
        <w:autoSpaceDN w:val="0"/>
        <w:adjustRightInd w:val="0"/>
        <w:spacing w:after="120"/>
        <w:contextualSpacing/>
        <w:rPr>
          <w:rFonts w:ascii="Calibri" w:hAnsi="Calibri"/>
          <w:i/>
          <w:sz w:val="22"/>
          <w:szCs w:val="22"/>
          <w:lang w:val="es-CR" w:eastAsia="es-CR"/>
        </w:rPr>
      </w:pPr>
      <w:r>
        <w:rPr>
          <w:rFonts w:ascii="Calibri" w:hAnsi="Calibri"/>
          <w:i/>
          <w:sz w:val="22"/>
          <w:szCs w:val="22"/>
          <w:lang w:val="es-CR" w:eastAsia="es-CR"/>
        </w:rPr>
        <w:t xml:space="preserve">Con la nueva ley de tránsito la </w:t>
      </w:r>
      <w:r w:rsidR="00376365">
        <w:rPr>
          <w:rFonts w:ascii="Calibri" w:hAnsi="Calibri"/>
          <w:i/>
          <w:sz w:val="22"/>
          <w:szCs w:val="22"/>
          <w:lang w:val="es-CR" w:eastAsia="es-CR"/>
        </w:rPr>
        <w:t xml:space="preserve">CCSS </w:t>
      </w:r>
      <w:r w:rsidR="00D141D8">
        <w:rPr>
          <w:rFonts w:ascii="Calibri" w:hAnsi="Calibri"/>
          <w:i/>
          <w:sz w:val="22"/>
          <w:szCs w:val="22"/>
          <w:lang w:val="es-CR" w:eastAsia="es-CR"/>
        </w:rPr>
        <w:t xml:space="preserve">también </w:t>
      </w:r>
      <w:r>
        <w:rPr>
          <w:rFonts w:ascii="Calibri" w:hAnsi="Calibri"/>
          <w:i/>
          <w:sz w:val="22"/>
          <w:szCs w:val="22"/>
          <w:lang w:val="es-CR" w:eastAsia="es-CR"/>
        </w:rPr>
        <w:t>tiene mayores opciones para recuperar costos de atención de asegurados</w:t>
      </w:r>
    </w:p>
    <w:p w:rsidR="00607BD0" w:rsidRDefault="00607BD0" w:rsidP="00607BD0">
      <w:pPr>
        <w:autoSpaceDE w:val="0"/>
        <w:autoSpaceDN w:val="0"/>
        <w:adjustRightInd w:val="0"/>
        <w:spacing w:after="200"/>
        <w:jc w:val="both"/>
        <w:rPr>
          <w:rFonts w:ascii="Calibri" w:hAnsi="Calibri"/>
          <w:sz w:val="22"/>
          <w:szCs w:val="22"/>
          <w:lang w:val="es-CR" w:eastAsia="es-CR"/>
        </w:rPr>
      </w:pPr>
    </w:p>
    <w:p w:rsidR="00607BD0" w:rsidRPr="00930AAB" w:rsidRDefault="00607BD0" w:rsidP="00607BD0">
      <w:pPr>
        <w:autoSpaceDE w:val="0"/>
        <w:autoSpaceDN w:val="0"/>
        <w:adjustRightInd w:val="0"/>
        <w:spacing w:after="200"/>
        <w:jc w:val="both"/>
        <w:rPr>
          <w:rFonts w:ascii="Calibri" w:hAnsi="Calibri"/>
          <w:sz w:val="22"/>
          <w:szCs w:val="22"/>
          <w:lang w:val="es-CR" w:eastAsia="es-CR"/>
        </w:rPr>
      </w:pPr>
      <w:r w:rsidRPr="00930AAB">
        <w:rPr>
          <w:rFonts w:ascii="Calibri" w:hAnsi="Calibri"/>
          <w:sz w:val="22"/>
          <w:szCs w:val="22"/>
          <w:lang w:val="es-CR" w:eastAsia="es-CR"/>
        </w:rPr>
        <w:t>L</w:t>
      </w:r>
      <w:r w:rsidR="00295DB1" w:rsidRPr="00930AAB">
        <w:rPr>
          <w:rFonts w:ascii="Calibri" w:hAnsi="Calibri"/>
          <w:sz w:val="22"/>
          <w:szCs w:val="22"/>
          <w:lang w:val="es-CR" w:eastAsia="es-CR"/>
        </w:rPr>
        <w:t xml:space="preserve">a Superintendencia General de Seguros (Sugese), </w:t>
      </w:r>
      <w:r w:rsidR="007A0208">
        <w:rPr>
          <w:rFonts w:ascii="Calibri" w:hAnsi="Calibri"/>
          <w:sz w:val="22"/>
          <w:szCs w:val="22"/>
          <w:lang w:val="es-CR" w:eastAsia="es-CR"/>
        </w:rPr>
        <w:t>dejó en firme hoy</w:t>
      </w:r>
      <w:r w:rsidR="00295DB1" w:rsidRPr="00930AAB">
        <w:rPr>
          <w:rFonts w:ascii="Calibri" w:hAnsi="Calibri"/>
          <w:sz w:val="22"/>
          <w:szCs w:val="22"/>
          <w:lang w:val="es-CR" w:eastAsia="es-CR"/>
        </w:rPr>
        <w:t xml:space="preserve"> las</w:t>
      </w:r>
      <w:r w:rsidR="0094432D" w:rsidRPr="00930AAB">
        <w:rPr>
          <w:rFonts w:ascii="Calibri" w:hAnsi="Calibri"/>
          <w:sz w:val="22"/>
          <w:szCs w:val="22"/>
          <w:lang w:val="es-CR" w:eastAsia="es-CR"/>
        </w:rPr>
        <w:t xml:space="preserve"> nuevas</w:t>
      </w:r>
      <w:r w:rsidR="00295DB1" w:rsidRPr="00930AAB">
        <w:rPr>
          <w:rFonts w:ascii="Calibri" w:hAnsi="Calibri"/>
          <w:sz w:val="22"/>
          <w:szCs w:val="22"/>
          <w:lang w:val="es-CR" w:eastAsia="es-CR"/>
        </w:rPr>
        <w:t xml:space="preserve"> tarifas del Seguro Obligatorio de Automóviles (SOA)</w:t>
      </w:r>
      <w:r w:rsidR="00090F51" w:rsidRPr="00930AAB">
        <w:rPr>
          <w:rFonts w:ascii="Calibri" w:hAnsi="Calibri"/>
          <w:sz w:val="22"/>
          <w:szCs w:val="22"/>
          <w:lang w:val="es-CR" w:eastAsia="es-CR"/>
        </w:rPr>
        <w:t>,</w:t>
      </w:r>
      <w:r w:rsidR="00295DB1" w:rsidRPr="00930AAB">
        <w:rPr>
          <w:rFonts w:ascii="Calibri" w:hAnsi="Calibri"/>
          <w:sz w:val="22"/>
          <w:szCs w:val="22"/>
          <w:lang w:val="es-CR" w:eastAsia="es-CR"/>
        </w:rPr>
        <w:t xml:space="preserve"> </w:t>
      </w:r>
      <w:r w:rsidR="00090F51" w:rsidRPr="00930AAB">
        <w:rPr>
          <w:rFonts w:ascii="Calibri" w:hAnsi="Calibri"/>
          <w:sz w:val="22"/>
          <w:szCs w:val="22"/>
          <w:lang w:val="es-CR" w:eastAsia="es-CR"/>
        </w:rPr>
        <w:t>correspondientes a</w:t>
      </w:r>
      <w:r w:rsidR="00AA6890">
        <w:rPr>
          <w:rFonts w:ascii="Calibri" w:hAnsi="Calibri"/>
          <w:sz w:val="22"/>
          <w:szCs w:val="22"/>
          <w:lang w:val="es-CR" w:eastAsia="es-CR"/>
        </w:rPr>
        <w:t>l</w:t>
      </w:r>
      <w:r w:rsidR="00295DB1" w:rsidRPr="00930AAB">
        <w:rPr>
          <w:rFonts w:ascii="Calibri" w:hAnsi="Calibri"/>
          <w:sz w:val="22"/>
          <w:szCs w:val="22"/>
          <w:lang w:val="es-CR" w:eastAsia="es-CR"/>
        </w:rPr>
        <w:t xml:space="preserve"> período 201</w:t>
      </w:r>
      <w:r w:rsidR="007A0208">
        <w:rPr>
          <w:rFonts w:ascii="Calibri" w:hAnsi="Calibri"/>
          <w:sz w:val="22"/>
          <w:szCs w:val="22"/>
          <w:lang w:val="es-CR" w:eastAsia="es-CR"/>
        </w:rPr>
        <w:t>3</w:t>
      </w:r>
      <w:r w:rsidRPr="00930AAB">
        <w:rPr>
          <w:rFonts w:ascii="Calibri" w:hAnsi="Calibri"/>
          <w:sz w:val="22"/>
          <w:szCs w:val="22"/>
          <w:lang w:val="es-CR" w:eastAsia="es-CR"/>
        </w:rPr>
        <w:t>, solicitadas por el Instituto Nacional de Seguros (INS)</w:t>
      </w:r>
      <w:r w:rsidR="007A0208">
        <w:rPr>
          <w:rFonts w:ascii="Calibri" w:hAnsi="Calibri"/>
          <w:sz w:val="22"/>
          <w:szCs w:val="22"/>
          <w:lang w:val="es-CR" w:eastAsia="es-CR"/>
        </w:rPr>
        <w:t>.</w:t>
      </w:r>
    </w:p>
    <w:p w:rsidR="00BB0182" w:rsidRPr="00BB0182" w:rsidRDefault="00BB0182" w:rsidP="00BB0182">
      <w:pPr>
        <w:tabs>
          <w:tab w:val="left" w:pos="3686"/>
        </w:tabs>
        <w:spacing w:after="200"/>
        <w:jc w:val="both"/>
        <w:rPr>
          <w:rFonts w:ascii="Calibri" w:hAnsi="Calibri"/>
          <w:sz w:val="22"/>
          <w:szCs w:val="22"/>
          <w:lang w:val="es-CR" w:eastAsia="es-CR"/>
        </w:rPr>
      </w:pPr>
      <w:r w:rsidRPr="00BB0182">
        <w:rPr>
          <w:rFonts w:ascii="Calibri" w:hAnsi="Calibri"/>
          <w:sz w:val="22"/>
          <w:szCs w:val="22"/>
          <w:lang w:val="es-CR" w:eastAsia="es-CR"/>
        </w:rPr>
        <w:t xml:space="preserve">De acuerdo con la Ley Reguladora del Mercado de Seguros, en el caso de los seguros obligatorios, le corresponde a la Superintendencia autorizar las tarifas de las primas. </w:t>
      </w:r>
    </w:p>
    <w:p w:rsidR="00376365" w:rsidRPr="00554443" w:rsidRDefault="00376365" w:rsidP="00376365">
      <w:pPr>
        <w:tabs>
          <w:tab w:val="left" w:pos="3686"/>
        </w:tabs>
        <w:spacing w:after="200"/>
        <w:jc w:val="both"/>
        <w:rPr>
          <w:rFonts w:ascii="Calibri" w:hAnsi="Calibri"/>
          <w:i/>
          <w:sz w:val="22"/>
          <w:szCs w:val="22"/>
          <w:lang w:val="es-CR" w:eastAsia="es-CR"/>
        </w:rPr>
      </w:pPr>
      <w:r>
        <w:rPr>
          <w:rFonts w:ascii="Calibri" w:hAnsi="Calibri"/>
          <w:sz w:val="22"/>
          <w:szCs w:val="22"/>
          <w:lang w:val="es-CR" w:eastAsia="es-CR"/>
        </w:rPr>
        <w:t xml:space="preserve">No obstante, con la entrada en vigencia de la nueva Ley de tránsito, N°9078, </w:t>
      </w:r>
      <w:r w:rsidR="00A32A7D">
        <w:rPr>
          <w:rFonts w:ascii="Calibri" w:hAnsi="Calibri"/>
          <w:sz w:val="22"/>
          <w:szCs w:val="22"/>
          <w:lang w:val="es-CR" w:eastAsia="es-CR"/>
        </w:rPr>
        <w:t xml:space="preserve"> el pasado 2</w:t>
      </w:r>
      <w:r w:rsidR="008B3726">
        <w:rPr>
          <w:rFonts w:ascii="Calibri" w:hAnsi="Calibri"/>
          <w:sz w:val="22"/>
          <w:szCs w:val="22"/>
          <w:lang w:val="es-CR" w:eastAsia="es-CR"/>
        </w:rPr>
        <w:t>6</w:t>
      </w:r>
      <w:r w:rsidR="00A32A7D">
        <w:rPr>
          <w:rFonts w:ascii="Calibri" w:hAnsi="Calibri"/>
          <w:sz w:val="22"/>
          <w:szCs w:val="22"/>
          <w:lang w:val="es-CR" w:eastAsia="es-CR"/>
        </w:rPr>
        <w:t xml:space="preserve"> de octubre, se establece en </w:t>
      </w:r>
      <w:r>
        <w:rPr>
          <w:rFonts w:ascii="Calibri" w:hAnsi="Calibri"/>
          <w:sz w:val="22"/>
          <w:szCs w:val="22"/>
          <w:lang w:val="es-CR" w:eastAsia="es-CR"/>
        </w:rPr>
        <w:t xml:space="preserve">el artículo N°56, que </w:t>
      </w:r>
      <w:r w:rsidRPr="00554443">
        <w:rPr>
          <w:rFonts w:ascii="Calibri" w:hAnsi="Calibri"/>
          <w:i/>
          <w:sz w:val="22"/>
          <w:szCs w:val="22"/>
          <w:lang w:val="es-CR" w:eastAsia="es-CR"/>
        </w:rPr>
        <w:t>“(…) Las tarifas de las primas serán determinadas por cada una de las entidades aseguradoras y deberán ser suficientes para hacer frente a los compromisos definidos para el seguro obligatorio. La Superintendencia General de Seguros no tramitará solicitudes de autorización de tarifas cuyo</w:t>
      </w:r>
      <w:r>
        <w:rPr>
          <w:rFonts w:ascii="Calibri" w:hAnsi="Calibri"/>
          <w:i/>
          <w:sz w:val="22"/>
          <w:szCs w:val="22"/>
          <w:lang w:val="es-CR" w:eastAsia="es-CR"/>
        </w:rPr>
        <w:t xml:space="preserve"> </w:t>
      </w:r>
      <w:r w:rsidRPr="00554443">
        <w:rPr>
          <w:rFonts w:ascii="Calibri" w:hAnsi="Calibri"/>
          <w:i/>
          <w:sz w:val="22"/>
          <w:szCs w:val="22"/>
          <w:lang w:val="es-CR" w:eastAsia="es-CR"/>
        </w:rPr>
        <w:t xml:space="preserve">margen de utilidad sea superior al </w:t>
      </w:r>
      <w:r>
        <w:rPr>
          <w:rFonts w:ascii="Calibri" w:hAnsi="Calibri"/>
          <w:i/>
          <w:sz w:val="22"/>
          <w:szCs w:val="22"/>
          <w:lang w:val="es-CR" w:eastAsia="es-CR"/>
        </w:rPr>
        <w:t>6% (…)”.</w:t>
      </w:r>
    </w:p>
    <w:p w:rsidR="008B3726" w:rsidRDefault="00376365" w:rsidP="00090F51">
      <w:pPr>
        <w:tabs>
          <w:tab w:val="left" w:pos="3686"/>
        </w:tabs>
        <w:spacing w:after="200"/>
        <w:jc w:val="both"/>
        <w:rPr>
          <w:rFonts w:ascii="Calibri" w:hAnsi="Calibri"/>
          <w:sz w:val="22"/>
          <w:szCs w:val="22"/>
          <w:lang w:val="es-CR" w:eastAsia="es-CR"/>
        </w:rPr>
      </w:pPr>
      <w:r>
        <w:rPr>
          <w:rFonts w:ascii="Calibri" w:hAnsi="Calibri"/>
          <w:sz w:val="22"/>
          <w:szCs w:val="22"/>
          <w:lang w:val="es-CR" w:eastAsia="es-CR"/>
        </w:rPr>
        <w:t xml:space="preserve">De esta forma, el Instituto Nacional de Seguros (INS) </w:t>
      </w:r>
      <w:r w:rsidR="00A32A7D">
        <w:rPr>
          <w:rFonts w:ascii="Calibri" w:hAnsi="Calibri"/>
          <w:sz w:val="22"/>
          <w:szCs w:val="22"/>
          <w:lang w:val="es-CR" w:eastAsia="es-CR"/>
        </w:rPr>
        <w:t>presentó a la Sugese</w:t>
      </w:r>
      <w:r w:rsidR="00D141D8">
        <w:rPr>
          <w:rFonts w:ascii="Calibri" w:hAnsi="Calibri"/>
          <w:sz w:val="22"/>
          <w:szCs w:val="22"/>
          <w:lang w:val="es-CR" w:eastAsia="es-CR"/>
        </w:rPr>
        <w:t>,</w:t>
      </w:r>
      <w:r w:rsidR="00A32A7D">
        <w:rPr>
          <w:rFonts w:ascii="Calibri" w:hAnsi="Calibri"/>
          <w:sz w:val="22"/>
          <w:szCs w:val="22"/>
          <w:lang w:val="es-CR" w:eastAsia="es-CR"/>
        </w:rPr>
        <w:t xml:space="preserve"> el 2 de noviembre, </w:t>
      </w:r>
      <w:r w:rsidR="00264AA4">
        <w:rPr>
          <w:rFonts w:ascii="Calibri" w:hAnsi="Calibri"/>
          <w:sz w:val="22"/>
          <w:szCs w:val="22"/>
          <w:lang w:val="es-CR" w:eastAsia="es-CR"/>
        </w:rPr>
        <w:t xml:space="preserve">una nueva solicitud para </w:t>
      </w:r>
      <w:r w:rsidR="00A32A7D">
        <w:rPr>
          <w:rFonts w:ascii="Calibri" w:hAnsi="Calibri"/>
          <w:sz w:val="22"/>
          <w:szCs w:val="22"/>
          <w:lang w:val="es-CR" w:eastAsia="es-CR"/>
        </w:rPr>
        <w:t>la aprobación de las tarifas del SOA</w:t>
      </w:r>
      <w:r w:rsidR="00D141D8">
        <w:rPr>
          <w:rFonts w:ascii="Calibri" w:hAnsi="Calibri"/>
          <w:sz w:val="22"/>
          <w:szCs w:val="22"/>
          <w:lang w:val="es-CR" w:eastAsia="es-CR"/>
        </w:rPr>
        <w:t xml:space="preserve"> 2013 (ver cuadro </w:t>
      </w:r>
      <w:r w:rsidR="00D141D8" w:rsidRPr="00D141D8">
        <w:rPr>
          <w:rFonts w:ascii="Calibri" w:hAnsi="Calibri"/>
          <w:sz w:val="22"/>
          <w:szCs w:val="22"/>
          <w:lang w:val="es-CR" w:eastAsia="es-CR"/>
        </w:rPr>
        <w:t>#1</w:t>
      </w:r>
      <w:r w:rsidR="00D141D8">
        <w:rPr>
          <w:rFonts w:ascii="Calibri" w:hAnsi="Calibri"/>
          <w:b/>
          <w:sz w:val="22"/>
          <w:szCs w:val="22"/>
          <w:lang w:val="es-CR" w:eastAsia="es-CR"/>
        </w:rPr>
        <w:t>)</w:t>
      </w:r>
      <w:r w:rsidR="00A32A7D">
        <w:rPr>
          <w:rFonts w:ascii="Calibri" w:hAnsi="Calibri"/>
          <w:sz w:val="22"/>
          <w:szCs w:val="22"/>
          <w:lang w:val="es-CR" w:eastAsia="es-CR"/>
        </w:rPr>
        <w:t>, considerando los parámetros establec</w:t>
      </w:r>
      <w:r w:rsidR="00B25444">
        <w:rPr>
          <w:rFonts w:ascii="Calibri" w:hAnsi="Calibri"/>
          <w:sz w:val="22"/>
          <w:szCs w:val="22"/>
          <w:lang w:val="es-CR" w:eastAsia="es-CR"/>
        </w:rPr>
        <w:t>idos en la nueva Ley de Tránsit</w:t>
      </w:r>
      <w:r w:rsidR="007D0B90">
        <w:rPr>
          <w:rFonts w:ascii="Calibri" w:hAnsi="Calibri"/>
          <w:sz w:val="22"/>
          <w:szCs w:val="22"/>
          <w:lang w:val="es-CR" w:eastAsia="es-CR"/>
        </w:rPr>
        <w:t>o.</w:t>
      </w:r>
    </w:p>
    <w:p w:rsidR="00102BE3" w:rsidRPr="008B3726" w:rsidRDefault="008B3726" w:rsidP="00090F51">
      <w:pPr>
        <w:tabs>
          <w:tab w:val="left" w:pos="3686"/>
        </w:tabs>
        <w:spacing w:after="200"/>
        <w:jc w:val="both"/>
        <w:rPr>
          <w:rFonts w:ascii="Calibri" w:hAnsi="Calibri"/>
          <w:sz w:val="22"/>
          <w:szCs w:val="22"/>
          <w:lang w:val="es-CR" w:eastAsia="es-CR"/>
        </w:rPr>
      </w:pPr>
      <w:r w:rsidRPr="00554443">
        <w:rPr>
          <w:rFonts w:ascii="Calibri" w:hAnsi="Calibri"/>
          <w:i/>
          <w:sz w:val="22"/>
          <w:szCs w:val="22"/>
          <w:lang w:val="es-CR" w:eastAsia="es-CR"/>
        </w:rPr>
        <w:t xml:space="preserve"> </w:t>
      </w:r>
      <w:r w:rsidR="00554443" w:rsidRPr="00554443">
        <w:rPr>
          <w:rFonts w:ascii="Calibri" w:hAnsi="Calibri"/>
          <w:i/>
          <w:sz w:val="22"/>
          <w:szCs w:val="22"/>
          <w:lang w:val="es-CR" w:eastAsia="es-CR"/>
        </w:rPr>
        <w:t>“</w:t>
      </w:r>
      <w:r w:rsidR="00EE0514">
        <w:rPr>
          <w:rFonts w:ascii="Calibri" w:hAnsi="Calibri"/>
          <w:i/>
          <w:sz w:val="22"/>
          <w:szCs w:val="22"/>
          <w:lang w:val="es-CR" w:eastAsia="es-CR"/>
        </w:rPr>
        <w:t>La nueva Ley de Tránsito introduce algunas novedades que afectarán sin duda el perfil de costos del seguro. Un ejemplo de ellos es la posibilidad de que la CCSS recupere los costo</w:t>
      </w:r>
      <w:r w:rsidR="007D0B90">
        <w:rPr>
          <w:rFonts w:ascii="Calibri" w:hAnsi="Calibri"/>
          <w:i/>
          <w:sz w:val="22"/>
          <w:szCs w:val="22"/>
          <w:lang w:val="es-CR" w:eastAsia="es-CR"/>
        </w:rPr>
        <w:t>s de atención mé</w:t>
      </w:r>
      <w:r w:rsidR="00EE0514">
        <w:rPr>
          <w:rFonts w:ascii="Calibri" w:hAnsi="Calibri"/>
          <w:i/>
          <w:sz w:val="22"/>
          <w:szCs w:val="22"/>
          <w:lang w:val="es-CR" w:eastAsia="es-CR"/>
        </w:rPr>
        <w:t>d</w:t>
      </w:r>
      <w:r w:rsidR="007D0B90">
        <w:rPr>
          <w:rFonts w:ascii="Calibri" w:hAnsi="Calibri"/>
          <w:i/>
          <w:sz w:val="22"/>
          <w:szCs w:val="22"/>
          <w:lang w:val="es-CR" w:eastAsia="es-CR"/>
        </w:rPr>
        <w:t>ica por accidentes de tránsito. También permite la nueva ley</w:t>
      </w:r>
      <w:r w:rsidR="00554443" w:rsidRPr="00554443">
        <w:rPr>
          <w:rFonts w:ascii="Calibri" w:hAnsi="Calibri"/>
          <w:i/>
          <w:sz w:val="22"/>
          <w:szCs w:val="22"/>
          <w:lang w:val="es-CR" w:eastAsia="es-CR"/>
        </w:rPr>
        <w:t xml:space="preserve"> a</w:t>
      </w:r>
      <w:r w:rsidR="00264AA4">
        <w:rPr>
          <w:rFonts w:ascii="Calibri" w:hAnsi="Calibri"/>
          <w:i/>
          <w:sz w:val="22"/>
          <w:szCs w:val="22"/>
          <w:lang w:val="es-CR" w:eastAsia="es-CR"/>
        </w:rPr>
        <w:t xml:space="preserve"> </w:t>
      </w:r>
      <w:r w:rsidR="00554443" w:rsidRPr="00554443">
        <w:rPr>
          <w:rFonts w:ascii="Calibri" w:hAnsi="Calibri"/>
          <w:i/>
          <w:sz w:val="22"/>
          <w:szCs w:val="22"/>
          <w:lang w:val="es-CR" w:eastAsia="es-CR"/>
        </w:rPr>
        <w:t>l</w:t>
      </w:r>
      <w:r w:rsidR="00264AA4">
        <w:rPr>
          <w:rFonts w:ascii="Calibri" w:hAnsi="Calibri"/>
          <w:i/>
          <w:sz w:val="22"/>
          <w:szCs w:val="22"/>
          <w:lang w:val="es-CR" w:eastAsia="es-CR"/>
        </w:rPr>
        <w:t>as aseguradoras</w:t>
      </w:r>
      <w:r w:rsidR="00554443" w:rsidRPr="00554443">
        <w:rPr>
          <w:rFonts w:ascii="Calibri" w:hAnsi="Calibri"/>
          <w:i/>
          <w:sz w:val="22"/>
          <w:szCs w:val="22"/>
          <w:lang w:val="es-CR" w:eastAsia="es-CR"/>
        </w:rPr>
        <w:t xml:space="preserve"> incluir un margen de utilidad en sus tarifas, </w:t>
      </w:r>
      <w:r w:rsidR="007D0B90">
        <w:rPr>
          <w:rFonts w:ascii="Calibri" w:hAnsi="Calibri"/>
          <w:i/>
          <w:sz w:val="22"/>
          <w:szCs w:val="22"/>
          <w:lang w:val="es-CR" w:eastAsia="es-CR"/>
        </w:rPr>
        <w:t>aspecto que es decisión exclusiva de las entidades aseguradoras.</w:t>
      </w:r>
      <w:r w:rsidR="00232849">
        <w:rPr>
          <w:rFonts w:ascii="Calibri" w:hAnsi="Calibri"/>
          <w:i/>
          <w:sz w:val="22"/>
          <w:szCs w:val="22"/>
          <w:lang w:val="es-CR" w:eastAsia="es-CR"/>
        </w:rPr>
        <w:t xml:space="preserve">”, </w:t>
      </w:r>
      <w:r w:rsidR="00232849" w:rsidRPr="00232849">
        <w:rPr>
          <w:rFonts w:ascii="Calibri" w:hAnsi="Calibri"/>
          <w:sz w:val="22"/>
          <w:szCs w:val="22"/>
          <w:lang w:val="es-CR" w:eastAsia="es-CR"/>
        </w:rPr>
        <w:t>i</w:t>
      </w:r>
      <w:r w:rsidR="00554443">
        <w:rPr>
          <w:rFonts w:ascii="Calibri" w:hAnsi="Calibri"/>
          <w:sz w:val="22"/>
          <w:szCs w:val="22"/>
          <w:lang w:val="es-CR" w:eastAsia="es-CR"/>
        </w:rPr>
        <w:t>ndicó el Superintendente de Seguros Tomás Soley</w:t>
      </w:r>
      <w:r w:rsidR="003777F1" w:rsidRPr="00554443">
        <w:rPr>
          <w:rFonts w:ascii="Calibri" w:hAnsi="Calibri"/>
          <w:i/>
          <w:sz w:val="22"/>
          <w:szCs w:val="22"/>
          <w:lang w:val="es-CR" w:eastAsia="es-CR"/>
        </w:rPr>
        <w:t xml:space="preserve">. </w:t>
      </w:r>
      <w:r w:rsidR="00CA1B79" w:rsidRPr="00554443">
        <w:rPr>
          <w:rFonts w:ascii="Calibri" w:hAnsi="Calibri"/>
          <w:i/>
          <w:sz w:val="22"/>
          <w:szCs w:val="22"/>
          <w:lang w:val="es-CR" w:eastAsia="es-CR"/>
        </w:rPr>
        <w:t xml:space="preserve"> </w:t>
      </w:r>
    </w:p>
    <w:p w:rsidR="00C06D89" w:rsidRPr="008B3726" w:rsidRDefault="008B3726" w:rsidP="00090F51">
      <w:pPr>
        <w:tabs>
          <w:tab w:val="left" w:pos="3686"/>
        </w:tabs>
        <w:spacing w:after="200"/>
        <w:jc w:val="both"/>
        <w:rPr>
          <w:rFonts w:ascii="Calibri" w:hAnsi="Calibri"/>
          <w:sz w:val="22"/>
          <w:szCs w:val="22"/>
          <w:lang w:val="es-CR" w:eastAsia="es-CR"/>
        </w:rPr>
      </w:pPr>
      <w:r>
        <w:rPr>
          <w:rFonts w:ascii="Calibri" w:hAnsi="Calibri"/>
          <w:sz w:val="22"/>
          <w:szCs w:val="22"/>
          <w:lang w:val="es-CR" w:eastAsia="es-CR"/>
        </w:rPr>
        <w:t xml:space="preserve">Asimismo, la nueva Ley también establece que en el caso que se produzcan excedentes </w:t>
      </w:r>
      <w:r w:rsidR="00264AA4">
        <w:rPr>
          <w:rFonts w:ascii="Calibri" w:hAnsi="Calibri"/>
          <w:sz w:val="22"/>
          <w:szCs w:val="22"/>
          <w:lang w:val="es-CR" w:eastAsia="es-CR"/>
        </w:rPr>
        <w:t>sobre el SOA</w:t>
      </w:r>
      <w:r>
        <w:rPr>
          <w:rFonts w:ascii="Calibri" w:hAnsi="Calibri"/>
          <w:sz w:val="22"/>
          <w:szCs w:val="22"/>
          <w:lang w:val="es-CR" w:eastAsia="es-CR"/>
        </w:rPr>
        <w:t>, superiores al 25%</w:t>
      </w:r>
      <w:r w:rsidRPr="008B3726">
        <w:rPr>
          <w:rFonts w:ascii="Calibri" w:hAnsi="Calibri"/>
          <w:sz w:val="22"/>
          <w:szCs w:val="22"/>
          <w:lang w:val="es-CR" w:eastAsia="es-CR"/>
        </w:rPr>
        <w:t xml:space="preserve"> de las primas perci</w:t>
      </w:r>
      <w:bookmarkStart w:id="0" w:name="_GoBack"/>
      <w:bookmarkEnd w:id="0"/>
      <w:r w:rsidRPr="008B3726">
        <w:rPr>
          <w:rFonts w:ascii="Calibri" w:hAnsi="Calibri"/>
          <w:sz w:val="22"/>
          <w:szCs w:val="22"/>
          <w:lang w:val="es-CR" w:eastAsia="es-CR"/>
        </w:rPr>
        <w:t>bidas en el año</w:t>
      </w:r>
      <w:r>
        <w:rPr>
          <w:rFonts w:ascii="Calibri" w:hAnsi="Calibri"/>
          <w:sz w:val="22"/>
          <w:szCs w:val="22"/>
          <w:lang w:val="es-CR" w:eastAsia="es-CR"/>
        </w:rPr>
        <w:t xml:space="preserve">, </w:t>
      </w:r>
      <w:r w:rsidR="00D141D8">
        <w:rPr>
          <w:rFonts w:ascii="Calibri" w:hAnsi="Calibri"/>
          <w:sz w:val="22"/>
          <w:szCs w:val="22"/>
          <w:lang w:val="es-CR" w:eastAsia="es-CR"/>
        </w:rPr>
        <w:t>el remanent</w:t>
      </w:r>
      <w:r>
        <w:rPr>
          <w:rFonts w:ascii="Calibri" w:hAnsi="Calibri"/>
          <w:sz w:val="22"/>
          <w:szCs w:val="22"/>
          <w:lang w:val="es-CR" w:eastAsia="es-CR"/>
        </w:rPr>
        <w:t xml:space="preserve">e deberá ser trasladado </w:t>
      </w:r>
      <w:r w:rsidRPr="008B3726">
        <w:rPr>
          <w:rFonts w:ascii="Calibri" w:hAnsi="Calibri"/>
          <w:sz w:val="22"/>
          <w:szCs w:val="22"/>
          <w:lang w:val="es-CR" w:eastAsia="es-CR"/>
        </w:rPr>
        <w:t xml:space="preserve">a título de contribución especial a la Caja Costarricense de Seguro Social </w:t>
      </w:r>
      <w:r>
        <w:rPr>
          <w:rFonts w:ascii="Calibri" w:hAnsi="Calibri"/>
          <w:sz w:val="22"/>
          <w:szCs w:val="22"/>
          <w:lang w:val="es-CR" w:eastAsia="es-CR"/>
        </w:rPr>
        <w:t xml:space="preserve">(CCSS), con el fin de </w:t>
      </w:r>
      <w:r w:rsidRPr="008B3726">
        <w:rPr>
          <w:rFonts w:ascii="Calibri" w:hAnsi="Calibri"/>
          <w:sz w:val="22"/>
          <w:szCs w:val="22"/>
          <w:lang w:val="es-CR" w:eastAsia="es-CR"/>
        </w:rPr>
        <w:t>mitigar el costo por la atención de personas lesionadas, cuando se agote la cobertura del seguro obligatorio.</w:t>
      </w:r>
    </w:p>
    <w:p w:rsidR="00C06D89" w:rsidRPr="00D141D8" w:rsidRDefault="00264AA4" w:rsidP="00090F51">
      <w:pPr>
        <w:tabs>
          <w:tab w:val="left" w:pos="3686"/>
        </w:tabs>
        <w:spacing w:after="200"/>
        <w:jc w:val="both"/>
        <w:rPr>
          <w:rFonts w:ascii="Calibri" w:hAnsi="Calibri"/>
          <w:sz w:val="22"/>
          <w:szCs w:val="22"/>
          <w:lang w:val="es-CR" w:eastAsia="es-CR"/>
        </w:rPr>
      </w:pPr>
      <w:r>
        <w:rPr>
          <w:rFonts w:ascii="Calibri" w:hAnsi="Calibri"/>
          <w:sz w:val="22"/>
          <w:szCs w:val="22"/>
          <w:lang w:val="es-CR" w:eastAsia="es-CR"/>
        </w:rPr>
        <w:t xml:space="preserve">Para el próximo año, la cobertura </w:t>
      </w:r>
      <w:r w:rsidR="00D141D8">
        <w:rPr>
          <w:rFonts w:ascii="Calibri" w:hAnsi="Calibri"/>
          <w:sz w:val="22"/>
          <w:szCs w:val="22"/>
          <w:lang w:val="es-CR" w:eastAsia="es-CR"/>
        </w:rPr>
        <w:t xml:space="preserve">será </w:t>
      </w:r>
      <w:r w:rsidR="00D141D8" w:rsidRPr="00D141D8">
        <w:rPr>
          <w:rFonts w:ascii="Calibri" w:hAnsi="Calibri"/>
          <w:sz w:val="22"/>
          <w:szCs w:val="22"/>
          <w:lang w:val="es-CR" w:eastAsia="es-CR"/>
        </w:rPr>
        <w:t>de  ¢</w:t>
      </w:r>
      <w:r w:rsidR="007D0B90">
        <w:rPr>
          <w:rFonts w:ascii="Calibri" w:hAnsi="Calibri"/>
          <w:sz w:val="22"/>
          <w:szCs w:val="22"/>
          <w:lang w:val="es-CR" w:eastAsia="es-CR"/>
        </w:rPr>
        <w:t>6.000.000</w:t>
      </w:r>
      <w:r w:rsidR="00D141D8" w:rsidRPr="00D141D8">
        <w:rPr>
          <w:rFonts w:ascii="Calibri" w:hAnsi="Calibri"/>
          <w:sz w:val="22"/>
          <w:szCs w:val="22"/>
          <w:lang w:val="es-CR" w:eastAsia="es-CR"/>
        </w:rPr>
        <w:t xml:space="preserve"> por lesionado y permite cubrir gastos médicos, pago a la víctima por  incapacidad total o permanente, otros gastos originados en un accidente de tránsito, así como la indemnización a los  beneficiarios en caso de la muerte de las personas en un accidente automovilístico.</w:t>
      </w:r>
    </w:p>
    <w:p w:rsidR="00D141D8" w:rsidRPr="00295DB1" w:rsidRDefault="00D141D8" w:rsidP="00D141D8">
      <w:pPr>
        <w:autoSpaceDE w:val="0"/>
        <w:autoSpaceDN w:val="0"/>
        <w:adjustRightInd w:val="0"/>
        <w:spacing w:after="200"/>
        <w:jc w:val="both"/>
        <w:rPr>
          <w:rFonts w:ascii="Calibri" w:hAnsi="Calibri"/>
          <w:sz w:val="22"/>
          <w:szCs w:val="22"/>
          <w:lang w:val="es-CR" w:eastAsia="es-CR"/>
        </w:rPr>
      </w:pPr>
      <w:r w:rsidRPr="00295DB1">
        <w:rPr>
          <w:rFonts w:ascii="Calibri" w:hAnsi="Calibri"/>
          <w:sz w:val="22"/>
          <w:szCs w:val="22"/>
          <w:lang w:val="es-CR" w:eastAsia="es-CR"/>
        </w:rPr>
        <w:t>El SOA es el segundo componente de importancia del marchamo, el cual además, lo constituyen los impuestos a la propiedad del vehículo, impuesto del Consejo de Seguridad Vial (COSEVI), municipalidades, timbre de fauna silvestre, entre otros.</w:t>
      </w:r>
    </w:p>
    <w:p w:rsidR="00D141D8" w:rsidRPr="00295DB1" w:rsidRDefault="00D141D8" w:rsidP="00D141D8">
      <w:pPr>
        <w:autoSpaceDE w:val="0"/>
        <w:autoSpaceDN w:val="0"/>
        <w:adjustRightInd w:val="0"/>
        <w:spacing w:after="200"/>
        <w:jc w:val="both"/>
        <w:rPr>
          <w:rFonts w:ascii="Calibri" w:hAnsi="Calibri"/>
          <w:sz w:val="22"/>
          <w:szCs w:val="22"/>
          <w:lang w:val="es-CR" w:eastAsia="es-CR"/>
        </w:rPr>
      </w:pPr>
      <w:r w:rsidRPr="00295DB1">
        <w:rPr>
          <w:rFonts w:ascii="Calibri" w:hAnsi="Calibri"/>
          <w:sz w:val="22"/>
          <w:szCs w:val="22"/>
          <w:lang w:val="es-CR" w:eastAsia="es-CR"/>
        </w:rPr>
        <w:t>Quienes deseen mayor información pueden ingresar comunicarse al teléfono 2243-5108.</w:t>
      </w:r>
    </w:p>
    <w:p w:rsidR="00C06D89" w:rsidRPr="00D141D8" w:rsidRDefault="00C06D89" w:rsidP="00090F51">
      <w:pPr>
        <w:tabs>
          <w:tab w:val="left" w:pos="3686"/>
        </w:tabs>
        <w:spacing w:after="200"/>
        <w:jc w:val="both"/>
        <w:rPr>
          <w:rFonts w:ascii="Calibri" w:hAnsi="Calibri"/>
          <w:sz w:val="22"/>
          <w:szCs w:val="22"/>
          <w:lang w:val="es-CR" w:eastAsia="es-CR"/>
        </w:rPr>
      </w:pPr>
    </w:p>
    <w:p w:rsidR="007776D6" w:rsidRPr="00295DB1" w:rsidRDefault="007776D6" w:rsidP="007776D6">
      <w:pPr>
        <w:tabs>
          <w:tab w:val="left" w:pos="3686"/>
        </w:tabs>
        <w:spacing w:after="200"/>
        <w:jc w:val="center"/>
        <w:rPr>
          <w:rFonts w:ascii="Calibri" w:hAnsi="Calibri"/>
          <w:b/>
          <w:sz w:val="22"/>
          <w:szCs w:val="22"/>
          <w:lang w:val="es-CR" w:eastAsia="es-CR"/>
        </w:rPr>
      </w:pPr>
      <w:r w:rsidRPr="00295DB1">
        <w:rPr>
          <w:rFonts w:ascii="Calibri" w:hAnsi="Calibri"/>
          <w:b/>
          <w:sz w:val="22"/>
          <w:szCs w:val="22"/>
          <w:lang w:val="es-CR" w:eastAsia="es-CR"/>
        </w:rPr>
        <w:t>Cuadro #1</w:t>
      </w:r>
    </w:p>
    <w:p w:rsidR="007776D6" w:rsidRPr="00295DB1" w:rsidRDefault="007776D6" w:rsidP="007776D6">
      <w:pPr>
        <w:tabs>
          <w:tab w:val="left" w:pos="3686"/>
        </w:tabs>
        <w:spacing w:after="200"/>
        <w:jc w:val="center"/>
        <w:rPr>
          <w:rFonts w:ascii="Calibri" w:hAnsi="Calibri"/>
          <w:b/>
          <w:sz w:val="22"/>
          <w:szCs w:val="22"/>
          <w:lang w:val="es-CR" w:eastAsia="es-CR"/>
        </w:rPr>
      </w:pPr>
      <w:r w:rsidRPr="00295DB1">
        <w:rPr>
          <w:rFonts w:ascii="Calibri" w:hAnsi="Calibri"/>
          <w:b/>
          <w:sz w:val="22"/>
          <w:szCs w:val="22"/>
          <w:lang w:val="es-CR" w:eastAsia="es-CR"/>
        </w:rPr>
        <w:t xml:space="preserve">Seguro Obligatorio </w:t>
      </w:r>
      <w:r w:rsidR="000574D9">
        <w:rPr>
          <w:rFonts w:ascii="Calibri" w:hAnsi="Calibri"/>
          <w:b/>
          <w:sz w:val="22"/>
          <w:szCs w:val="22"/>
          <w:lang w:val="es-CR" w:eastAsia="es-CR"/>
        </w:rPr>
        <w:t>de Automóviles 2013</w:t>
      </w:r>
    </w:p>
    <w:tbl>
      <w:tblPr>
        <w:tblW w:w="6815" w:type="dxa"/>
        <w:jc w:val="center"/>
        <w:tblInd w:w="65" w:type="dxa"/>
        <w:tblCellMar>
          <w:left w:w="70" w:type="dxa"/>
          <w:right w:w="70" w:type="dxa"/>
        </w:tblCellMar>
        <w:tblLook w:val="04A0" w:firstRow="1" w:lastRow="0" w:firstColumn="1" w:lastColumn="0" w:noHBand="0" w:noVBand="1"/>
      </w:tblPr>
      <w:tblGrid>
        <w:gridCol w:w="2982"/>
        <w:gridCol w:w="1281"/>
        <w:gridCol w:w="1279"/>
        <w:gridCol w:w="1273"/>
      </w:tblGrid>
      <w:tr w:rsidR="0034599A" w:rsidRPr="00295DB1" w:rsidTr="00D179A6">
        <w:trPr>
          <w:trHeight w:val="954"/>
          <w:jc w:val="center"/>
        </w:trPr>
        <w:tc>
          <w:tcPr>
            <w:tcW w:w="298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34599A" w:rsidRPr="00295DB1" w:rsidRDefault="0034599A" w:rsidP="00D179A6">
            <w:pPr>
              <w:tabs>
                <w:tab w:val="left" w:pos="3686"/>
              </w:tabs>
              <w:jc w:val="center"/>
              <w:rPr>
                <w:rFonts w:ascii="Calibri" w:hAnsi="Calibri" w:cs="Calibri"/>
                <w:b/>
                <w:bCs/>
                <w:i/>
                <w:iCs/>
                <w:color w:val="000000"/>
                <w:sz w:val="22"/>
                <w:szCs w:val="22"/>
              </w:rPr>
            </w:pPr>
            <w:r w:rsidRPr="00295DB1">
              <w:rPr>
                <w:rFonts w:ascii="Calibri" w:hAnsi="Calibri" w:cs="Calibri"/>
                <w:b/>
                <w:bCs/>
                <w:i/>
                <w:iCs/>
                <w:color w:val="000000"/>
                <w:sz w:val="22"/>
                <w:szCs w:val="22"/>
                <w:lang w:val="es-CR" w:eastAsia="es-CR"/>
              </w:rPr>
              <w:t>Tipo de Vehículo</w:t>
            </w:r>
          </w:p>
        </w:tc>
        <w:tc>
          <w:tcPr>
            <w:tcW w:w="128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34599A" w:rsidRPr="00295DB1" w:rsidRDefault="0034599A" w:rsidP="00D179A6">
            <w:pPr>
              <w:tabs>
                <w:tab w:val="left" w:pos="3686"/>
              </w:tabs>
              <w:jc w:val="center"/>
              <w:rPr>
                <w:rFonts w:ascii="Calibri" w:hAnsi="Calibri" w:cs="Calibri"/>
                <w:b/>
                <w:bCs/>
                <w:i/>
                <w:iCs/>
                <w:color w:val="000000"/>
                <w:sz w:val="22"/>
                <w:szCs w:val="22"/>
              </w:rPr>
            </w:pPr>
            <w:r>
              <w:rPr>
                <w:rFonts w:ascii="Calibri" w:hAnsi="Calibri" w:cs="Calibri"/>
                <w:b/>
                <w:bCs/>
                <w:i/>
                <w:iCs/>
                <w:color w:val="000000"/>
                <w:sz w:val="22"/>
                <w:szCs w:val="22"/>
                <w:lang w:val="es-CR" w:eastAsia="es-CR"/>
              </w:rPr>
              <w:t xml:space="preserve">Tarifas </w:t>
            </w:r>
            <w:r w:rsidRPr="00295DB1">
              <w:rPr>
                <w:rFonts w:ascii="Calibri" w:hAnsi="Calibri" w:cs="Calibri"/>
                <w:b/>
                <w:bCs/>
                <w:i/>
                <w:iCs/>
                <w:color w:val="000000"/>
                <w:sz w:val="22"/>
                <w:szCs w:val="22"/>
                <w:lang w:val="es-CR" w:eastAsia="es-CR"/>
              </w:rPr>
              <w:t>Vigentes 201</w:t>
            </w:r>
            <w:r>
              <w:rPr>
                <w:rFonts w:ascii="Calibri" w:hAnsi="Calibri" w:cs="Calibri"/>
                <w:b/>
                <w:bCs/>
                <w:i/>
                <w:iCs/>
                <w:color w:val="000000"/>
                <w:sz w:val="22"/>
                <w:szCs w:val="22"/>
                <w:lang w:val="es-CR" w:eastAsia="es-CR"/>
              </w:rPr>
              <w:t>2</w:t>
            </w:r>
          </w:p>
        </w:tc>
        <w:tc>
          <w:tcPr>
            <w:tcW w:w="127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34599A" w:rsidRDefault="0034599A" w:rsidP="00D179A6">
            <w:pPr>
              <w:tabs>
                <w:tab w:val="left" w:pos="3686"/>
              </w:tabs>
              <w:jc w:val="center"/>
              <w:rPr>
                <w:rFonts w:ascii="Calibri" w:hAnsi="Calibri" w:cs="Calibri"/>
                <w:b/>
                <w:bCs/>
                <w:i/>
                <w:iCs/>
                <w:color w:val="000000"/>
                <w:sz w:val="22"/>
                <w:szCs w:val="22"/>
                <w:lang w:val="es-CR" w:eastAsia="es-CR"/>
              </w:rPr>
            </w:pPr>
            <w:r>
              <w:rPr>
                <w:rFonts w:ascii="Calibri" w:hAnsi="Calibri" w:cs="Calibri"/>
                <w:b/>
                <w:bCs/>
                <w:i/>
                <w:iCs/>
                <w:color w:val="000000"/>
                <w:sz w:val="22"/>
                <w:szCs w:val="22"/>
                <w:lang w:val="es-CR" w:eastAsia="es-CR"/>
              </w:rPr>
              <w:t>Tarifas</w:t>
            </w:r>
          </w:p>
          <w:p w:rsidR="0034599A" w:rsidRPr="00295DB1" w:rsidRDefault="0034599A" w:rsidP="00D179A6">
            <w:pPr>
              <w:tabs>
                <w:tab w:val="left" w:pos="3686"/>
              </w:tabs>
              <w:jc w:val="center"/>
              <w:rPr>
                <w:rFonts w:ascii="Calibri" w:hAnsi="Calibri" w:cs="Calibri"/>
                <w:b/>
                <w:bCs/>
                <w:i/>
                <w:iCs/>
                <w:color w:val="000000"/>
                <w:sz w:val="22"/>
                <w:szCs w:val="22"/>
              </w:rPr>
            </w:pPr>
            <w:r w:rsidRPr="00295DB1">
              <w:rPr>
                <w:rFonts w:ascii="Calibri" w:hAnsi="Calibri" w:cs="Calibri"/>
                <w:b/>
                <w:bCs/>
                <w:i/>
                <w:iCs/>
                <w:color w:val="000000"/>
                <w:sz w:val="22"/>
                <w:szCs w:val="22"/>
                <w:lang w:val="es-CR" w:eastAsia="es-CR"/>
              </w:rPr>
              <w:t>Autorizadas</w:t>
            </w:r>
            <w:r>
              <w:rPr>
                <w:rFonts w:ascii="Calibri" w:hAnsi="Calibri" w:cs="Calibri"/>
                <w:b/>
                <w:bCs/>
                <w:i/>
                <w:iCs/>
                <w:color w:val="000000"/>
                <w:sz w:val="22"/>
                <w:szCs w:val="22"/>
                <w:lang w:val="es-CR" w:eastAsia="es-CR"/>
              </w:rPr>
              <w:t xml:space="preserve"> </w:t>
            </w:r>
            <w:r w:rsidRPr="00295DB1">
              <w:rPr>
                <w:rFonts w:ascii="Calibri" w:hAnsi="Calibri" w:cs="Calibri"/>
                <w:b/>
                <w:bCs/>
                <w:i/>
                <w:iCs/>
                <w:color w:val="000000"/>
                <w:sz w:val="22"/>
                <w:szCs w:val="22"/>
                <w:lang w:val="es-CR" w:eastAsia="es-CR"/>
              </w:rPr>
              <w:t>201</w:t>
            </w:r>
            <w:r>
              <w:rPr>
                <w:rFonts w:ascii="Calibri" w:hAnsi="Calibri" w:cs="Calibri"/>
                <w:b/>
                <w:bCs/>
                <w:i/>
                <w:iCs/>
                <w:color w:val="000000"/>
                <w:sz w:val="22"/>
                <w:szCs w:val="22"/>
                <w:lang w:val="es-CR" w:eastAsia="es-CR"/>
              </w:rPr>
              <w:t>3</w:t>
            </w:r>
          </w:p>
        </w:tc>
        <w:tc>
          <w:tcPr>
            <w:tcW w:w="127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4599A" w:rsidRDefault="0034599A" w:rsidP="00D179A6">
            <w:pPr>
              <w:tabs>
                <w:tab w:val="left" w:pos="3686"/>
              </w:tabs>
              <w:jc w:val="center"/>
              <w:rPr>
                <w:rFonts w:ascii="Calibri" w:hAnsi="Calibri" w:cs="Calibri"/>
                <w:b/>
                <w:bCs/>
                <w:i/>
                <w:iCs/>
                <w:color w:val="000000"/>
                <w:sz w:val="22"/>
                <w:szCs w:val="22"/>
                <w:lang w:val="es-CR" w:eastAsia="es-CR"/>
              </w:rPr>
            </w:pPr>
            <w:r>
              <w:rPr>
                <w:rFonts w:ascii="Calibri" w:hAnsi="Calibri" w:cs="Calibri"/>
                <w:b/>
                <w:bCs/>
                <w:i/>
                <w:iCs/>
                <w:color w:val="000000"/>
                <w:sz w:val="22"/>
                <w:szCs w:val="22"/>
                <w:lang w:val="es-CR" w:eastAsia="es-CR"/>
              </w:rPr>
              <w:t xml:space="preserve">Variación </w:t>
            </w:r>
          </w:p>
          <w:p w:rsidR="0034599A" w:rsidRDefault="0034599A" w:rsidP="00D179A6">
            <w:pPr>
              <w:tabs>
                <w:tab w:val="left" w:pos="3686"/>
              </w:tabs>
              <w:jc w:val="center"/>
              <w:rPr>
                <w:rFonts w:ascii="Calibri" w:hAnsi="Calibri" w:cs="Calibri"/>
                <w:b/>
                <w:bCs/>
                <w:i/>
                <w:iCs/>
                <w:color w:val="000000"/>
                <w:sz w:val="22"/>
                <w:szCs w:val="22"/>
                <w:lang w:val="es-CR" w:eastAsia="es-CR"/>
              </w:rPr>
            </w:pPr>
            <w:r>
              <w:rPr>
                <w:rFonts w:ascii="Calibri" w:hAnsi="Calibri" w:cs="Calibri"/>
                <w:b/>
                <w:bCs/>
                <w:i/>
                <w:iCs/>
                <w:color w:val="000000"/>
                <w:sz w:val="22"/>
                <w:szCs w:val="22"/>
                <w:lang w:val="es-CR" w:eastAsia="es-CR"/>
              </w:rPr>
              <w:t>absoluta</w:t>
            </w:r>
          </w:p>
        </w:tc>
      </w:tr>
      <w:tr w:rsidR="0034599A" w:rsidRPr="00295DB1" w:rsidTr="00D179A6">
        <w:trPr>
          <w:trHeight w:val="315"/>
          <w:jc w:val="center"/>
        </w:trPr>
        <w:tc>
          <w:tcPr>
            <w:tcW w:w="2982" w:type="dxa"/>
            <w:tcBorders>
              <w:top w:val="single" w:sz="4" w:space="0" w:color="auto"/>
              <w:left w:val="single" w:sz="4" w:space="0" w:color="auto"/>
              <w:bottom w:val="nil"/>
              <w:right w:val="single" w:sz="4" w:space="0" w:color="auto"/>
            </w:tcBorders>
            <w:shd w:val="clear" w:color="auto" w:fill="C6D9F1" w:themeFill="text2" w:themeFillTint="33"/>
            <w:noWrap/>
            <w:vAlign w:val="bottom"/>
          </w:tcPr>
          <w:p w:rsidR="0034599A" w:rsidRPr="00295DB1" w:rsidRDefault="0034599A" w:rsidP="00D179A6">
            <w:pPr>
              <w:tabs>
                <w:tab w:val="left" w:pos="3686"/>
              </w:tabs>
              <w:spacing w:after="80"/>
              <w:jc w:val="both"/>
              <w:rPr>
                <w:rFonts w:ascii="Calibri" w:hAnsi="Calibri" w:cs="Calibri"/>
                <w:color w:val="000000"/>
                <w:sz w:val="22"/>
                <w:szCs w:val="22"/>
                <w:lang w:val="es-CR" w:eastAsia="es-CR"/>
              </w:rPr>
            </w:pPr>
          </w:p>
        </w:tc>
        <w:tc>
          <w:tcPr>
            <w:tcW w:w="3833" w:type="dxa"/>
            <w:gridSpan w:val="3"/>
            <w:tcBorders>
              <w:top w:val="single" w:sz="4" w:space="0" w:color="auto"/>
              <w:left w:val="nil"/>
              <w:bottom w:val="nil"/>
              <w:right w:val="single" w:sz="4" w:space="0" w:color="auto"/>
            </w:tcBorders>
            <w:shd w:val="clear" w:color="auto" w:fill="C6D9F1" w:themeFill="text2" w:themeFillTint="33"/>
            <w:noWrap/>
            <w:vAlign w:val="bottom"/>
          </w:tcPr>
          <w:p w:rsidR="0034599A" w:rsidRPr="002C778B" w:rsidRDefault="0034599A" w:rsidP="00D179A6">
            <w:pPr>
              <w:jc w:val="right"/>
              <w:rPr>
                <w:rFonts w:ascii="Calibri" w:hAnsi="Calibri" w:cs="Calibri"/>
                <w:b/>
                <w:sz w:val="22"/>
                <w:szCs w:val="22"/>
                <w:lang w:val="es-CR" w:eastAsia="es-CR"/>
              </w:rPr>
            </w:pPr>
            <w:r w:rsidRPr="002C778B">
              <w:rPr>
                <w:rFonts w:ascii="Calibri" w:hAnsi="Calibri" w:cs="Calibri"/>
                <w:b/>
                <w:sz w:val="22"/>
                <w:szCs w:val="22"/>
                <w:lang w:val="es-CR" w:eastAsia="es-CR"/>
              </w:rPr>
              <w:t>Cobertura ¢6 millones</w:t>
            </w:r>
          </w:p>
        </w:tc>
      </w:tr>
      <w:tr w:rsidR="0034599A" w:rsidRPr="00295DB1" w:rsidTr="00D179A6">
        <w:trPr>
          <w:trHeight w:val="315"/>
          <w:jc w:val="center"/>
        </w:trPr>
        <w:tc>
          <w:tcPr>
            <w:tcW w:w="2982" w:type="dxa"/>
            <w:tcBorders>
              <w:top w:val="single" w:sz="4" w:space="0" w:color="auto"/>
              <w:left w:val="single" w:sz="4" w:space="0" w:color="auto"/>
              <w:bottom w:val="nil"/>
              <w:right w:val="single" w:sz="4" w:space="0" w:color="auto"/>
            </w:tcBorders>
            <w:noWrap/>
            <w:vAlign w:val="bottom"/>
            <w:hideMark/>
          </w:tcPr>
          <w:p w:rsidR="0034599A" w:rsidRPr="00295DB1" w:rsidRDefault="0034599A" w:rsidP="00D179A6">
            <w:pPr>
              <w:tabs>
                <w:tab w:val="left" w:pos="3686"/>
              </w:tabs>
              <w:spacing w:after="80"/>
              <w:jc w:val="both"/>
              <w:rPr>
                <w:rFonts w:ascii="Calibri" w:hAnsi="Calibri" w:cs="Calibri"/>
                <w:color w:val="000000"/>
                <w:sz w:val="22"/>
                <w:szCs w:val="22"/>
              </w:rPr>
            </w:pPr>
            <w:r w:rsidRPr="00295DB1">
              <w:rPr>
                <w:rFonts w:ascii="Calibri" w:hAnsi="Calibri" w:cs="Calibri"/>
                <w:color w:val="000000"/>
                <w:sz w:val="22"/>
                <w:szCs w:val="22"/>
                <w:lang w:val="es-CR" w:eastAsia="es-CR"/>
              </w:rPr>
              <w:t>Particular</w:t>
            </w:r>
          </w:p>
        </w:tc>
        <w:tc>
          <w:tcPr>
            <w:tcW w:w="1281" w:type="dxa"/>
            <w:tcBorders>
              <w:top w:val="single" w:sz="4" w:space="0" w:color="auto"/>
              <w:left w:val="nil"/>
              <w:bottom w:val="nil"/>
              <w:right w:val="single" w:sz="4" w:space="0" w:color="auto"/>
            </w:tcBorders>
            <w:noWrap/>
            <w:vAlign w:val="bottom"/>
            <w:hideMark/>
          </w:tcPr>
          <w:p w:rsidR="0034599A" w:rsidRPr="00295DB1" w:rsidRDefault="0034599A" w:rsidP="00D179A6">
            <w:pPr>
              <w:tabs>
                <w:tab w:val="left" w:pos="3686"/>
              </w:tabs>
              <w:spacing w:after="80"/>
              <w:jc w:val="center"/>
              <w:rPr>
                <w:rFonts w:ascii="Calibri" w:hAnsi="Calibri" w:cs="Calibri"/>
                <w:sz w:val="22"/>
                <w:szCs w:val="22"/>
              </w:rPr>
            </w:pPr>
            <w:r w:rsidRPr="00295DB1">
              <w:rPr>
                <w:rFonts w:ascii="Calibri" w:hAnsi="Calibri" w:cs="Calibri"/>
                <w:sz w:val="22"/>
                <w:szCs w:val="22"/>
                <w:lang w:val="es-CR" w:eastAsia="es-CR"/>
              </w:rPr>
              <w:t>¢ 15.903</w:t>
            </w:r>
          </w:p>
        </w:tc>
        <w:tc>
          <w:tcPr>
            <w:tcW w:w="1279" w:type="dxa"/>
            <w:tcBorders>
              <w:top w:val="single" w:sz="4" w:space="0" w:color="auto"/>
              <w:left w:val="nil"/>
              <w:bottom w:val="nil"/>
              <w:right w:val="single" w:sz="4" w:space="0" w:color="auto"/>
            </w:tcBorders>
            <w:noWrap/>
            <w:vAlign w:val="center"/>
          </w:tcPr>
          <w:p w:rsidR="0034599A" w:rsidRPr="002C778B" w:rsidRDefault="0034599A" w:rsidP="00D179A6">
            <w:pPr>
              <w:jc w:val="right"/>
              <w:rPr>
                <w:rFonts w:ascii="Calibri" w:hAnsi="Calibri" w:cs="Calibri"/>
                <w:sz w:val="22"/>
                <w:szCs w:val="22"/>
                <w:lang w:val="es-CR" w:eastAsia="es-CR"/>
              </w:rPr>
            </w:pPr>
            <w:r w:rsidRPr="00295DB1">
              <w:rPr>
                <w:rFonts w:ascii="Calibri" w:hAnsi="Calibri" w:cs="Calibri"/>
                <w:sz w:val="22"/>
                <w:szCs w:val="22"/>
                <w:lang w:val="es-CR" w:eastAsia="es-CR"/>
              </w:rPr>
              <w:t>¢</w:t>
            </w:r>
            <w:r w:rsidRPr="002C778B">
              <w:rPr>
                <w:rFonts w:ascii="Calibri" w:hAnsi="Calibri" w:cs="Calibri"/>
                <w:sz w:val="22"/>
                <w:szCs w:val="22"/>
                <w:lang w:val="es-CR" w:eastAsia="es-CR"/>
              </w:rPr>
              <w:t>17.374</w:t>
            </w:r>
          </w:p>
        </w:tc>
        <w:tc>
          <w:tcPr>
            <w:tcW w:w="1273" w:type="dxa"/>
            <w:tcBorders>
              <w:top w:val="single" w:sz="4" w:space="0" w:color="auto"/>
              <w:left w:val="nil"/>
              <w:bottom w:val="nil"/>
              <w:right w:val="single" w:sz="4" w:space="0" w:color="auto"/>
            </w:tcBorders>
          </w:tcPr>
          <w:p w:rsidR="0034599A" w:rsidRPr="00295DB1" w:rsidRDefault="0034599A" w:rsidP="00D179A6">
            <w:pPr>
              <w:jc w:val="right"/>
              <w:rPr>
                <w:rFonts w:ascii="Calibri" w:hAnsi="Calibri" w:cs="Calibri"/>
                <w:sz w:val="22"/>
                <w:szCs w:val="22"/>
                <w:lang w:val="es-CR" w:eastAsia="es-CR"/>
              </w:rPr>
            </w:pPr>
            <w:r w:rsidRPr="00295DB1">
              <w:rPr>
                <w:rFonts w:ascii="Calibri" w:hAnsi="Calibri" w:cs="Calibri"/>
                <w:sz w:val="22"/>
                <w:szCs w:val="22"/>
                <w:lang w:val="es-CR" w:eastAsia="es-CR"/>
              </w:rPr>
              <w:t>¢</w:t>
            </w:r>
            <w:r>
              <w:rPr>
                <w:rFonts w:ascii="Calibri" w:hAnsi="Calibri" w:cs="Calibri"/>
                <w:sz w:val="22"/>
                <w:szCs w:val="22"/>
                <w:lang w:val="es-CR" w:eastAsia="es-CR"/>
              </w:rPr>
              <w:t>1.471</w:t>
            </w:r>
          </w:p>
        </w:tc>
      </w:tr>
      <w:tr w:rsidR="0034599A" w:rsidRPr="00295DB1" w:rsidTr="00D179A6">
        <w:trPr>
          <w:trHeight w:val="315"/>
          <w:jc w:val="center"/>
        </w:trPr>
        <w:tc>
          <w:tcPr>
            <w:tcW w:w="2982" w:type="dxa"/>
            <w:tcBorders>
              <w:top w:val="nil"/>
              <w:left w:val="single" w:sz="4" w:space="0" w:color="auto"/>
              <w:bottom w:val="nil"/>
              <w:right w:val="single" w:sz="4" w:space="0" w:color="auto"/>
            </w:tcBorders>
            <w:noWrap/>
            <w:vAlign w:val="bottom"/>
            <w:hideMark/>
          </w:tcPr>
          <w:p w:rsidR="0034599A" w:rsidRPr="00295DB1" w:rsidRDefault="0034599A" w:rsidP="00D179A6">
            <w:pPr>
              <w:tabs>
                <w:tab w:val="left" w:pos="3686"/>
              </w:tabs>
              <w:spacing w:after="80"/>
              <w:jc w:val="both"/>
              <w:rPr>
                <w:rFonts w:ascii="Calibri" w:hAnsi="Calibri" w:cs="Calibri"/>
                <w:color w:val="000000"/>
                <w:sz w:val="22"/>
                <w:szCs w:val="22"/>
              </w:rPr>
            </w:pPr>
            <w:r w:rsidRPr="00295DB1">
              <w:rPr>
                <w:rFonts w:ascii="Calibri" w:hAnsi="Calibri" w:cs="Calibri"/>
                <w:color w:val="000000"/>
                <w:sz w:val="22"/>
                <w:szCs w:val="22"/>
                <w:lang w:val="es-CR" w:eastAsia="es-CR"/>
              </w:rPr>
              <w:t>Carga Liviana</w:t>
            </w:r>
          </w:p>
        </w:tc>
        <w:tc>
          <w:tcPr>
            <w:tcW w:w="1281" w:type="dxa"/>
            <w:tcBorders>
              <w:top w:val="nil"/>
              <w:left w:val="nil"/>
              <w:bottom w:val="nil"/>
              <w:right w:val="single" w:sz="4" w:space="0" w:color="auto"/>
            </w:tcBorders>
            <w:noWrap/>
            <w:vAlign w:val="bottom"/>
            <w:hideMark/>
          </w:tcPr>
          <w:p w:rsidR="0034599A" w:rsidRPr="00295DB1" w:rsidRDefault="0034599A" w:rsidP="00D179A6">
            <w:pPr>
              <w:tabs>
                <w:tab w:val="left" w:pos="3686"/>
              </w:tabs>
              <w:spacing w:after="80"/>
              <w:jc w:val="center"/>
              <w:rPr>
                <w:rFonts w:ascii="Calibri" w:hAnsi="Calibri" w:cs="Calibri"/>
                <w:sz w:val="22"/>
                <w:szCs w:val="22"/>
              </w:rPr>
            </w:pPr>
            <w:r w:rsidRPr="00295DB1">
              <w:rPr>
                <w:rFonts w:ascii="Calibri" w:hAnsi="Calibri" w:cs="Calibri"/>
                <w:sz w:val="22"/>
                <w:szCs w:val="22"/>
                <w:lang w:val="es-CR" w:eastAsia="es-CR"/>
              </w:rPr>
              <w:t>¢ 12.640</w:t>
            </w:r>
          </w:p>
        </w:tc>
        <w:tc>
          <w:tcPr>
            <w:tcW w:w="1279" w:type="dxa"/>
            <w:tcBorders>
              <w:top w:val="nil"/>
              <w:left w:val="nil"/>
              <w:bottom w:val="nil"/>
              <w:right w:val="single" w:sz="4" w:space="0" w:color="auto"/>
            </w:tcBorders>
            <w:noWrap/>
            <w:vAlign w:val="center"/>
          </w:tcPr>
          <w:p w:rsidR="0034599A" w:rsidRPr="002C778B" w:rsidRDefault="0034599A" w:rsidP="00D179A6">
            <w:pPr>
              <w:jc w:val="right"/>
              <w:rPr>
                <w:rFonts w:ascii="Calibri" w:hAnsi="Calibri" w:cs="Calibri"/>
                <w:sz w:val="22"/>
                <w:szCs w:val="22"/>
                <w:lang w:val="es-CR" w:eastAsia="es-CR"/>
              </w:rPr>
            </w:pPr>
            <w:r w:rsidRPr="00295DB1">
              <w:rPr>
                <w:rFonts w:ascii="Calibri" w:hAnsi="Calibri" w:cs="Calibri"/>
                <w:sz w:val="22"/>
                <w:szCs w:val="22"/>
                <w:lang w:val="es-CR" w:eastAsia="es-CR"/>
              </w:rPr>
              <w:t>¢</w:t>
            </w:r>
            <w:r w:rsidRPr="002C778B">
              <w:rPr>
                <w:rFonts w:ascii="Calibri" w:hAnsi="Calibri" w:cs="Calibri"/>
                <w:sz w:val="22"/>
                <w:szCs w:val="22"/>
                <w:lang w:val="es-CR" w:eastAsia="es-CR"/>
              </w:rPr>
              <w:t>13.659</w:t>
            </w:r>
          </w:p>
        </w:tc>
        <w:tc>
          <w:tcPr>
            <w:tcW w:w="1273" w:type="dxa"/>
            <w:tcBorders>
              <w:top w:val="nil"/>
              <w:left w:val="nil"/>
              <w:bottom w:val="nil"/>
              <w:right w:val="single" w:sz="4" w:space="0" w:color="auto"/>
            </w:tcBorders>
          </w:tcPr>
          <w:p w:rsidR="0034599A" w:rsidRDefault="0034599A" w:rsidP="00D179A6">
            <w:pPr>
              <w:jc w:val="right"/>
            </w:pPr>
            <w:r w:rsidRPr="00DD4FC1">
              <w:rPr>
                <w:rFonts w:ascii="Calibri" w:hAnsi="Calibri" w:cs="Calibri"/>
                <w:sz w:val="22"/>
                <w:szCs w:val="22"/>
                <w:lang w:val="es-CR" w:eastAsia="es-CR"/>
              </w:rPr>
              <w:t>¢1.</w:t>
            </w:r>
            <w:r>
              <w:rPr>
                <w:rFonts w:ascii="Calibri" w:hAnsi="Calibri" w:cs="Calibri"/>
                <w:sz w:val="22"/>
                <w:szCs w:val="22"/>
                <w:lang w:val="es-CR" w:eastAsia="es-CR"/>
              </w:rPr>
              <w:t>019</w:t>
            </w:r>
          </w:p>
        </w:tc>
      </w:tr>
      <w:tr w:rsidR="0034599A" w:rsidRPr="00295DB1" w:rsidTr="00D179A6">
        <w:trPr>
          <w:trHeight w:val="315"/>
          <w:jc w:val="center"/>
        </w:trPr>
        <w:tc>
          <w:tcPr>
            <w:tcW w:w="2982" w:type="dxa"/>
            <w:tcBorders>
              <w:top w:val="nil"/>
              <w:left w:val="single" w:sz="4" w:space="0" w:color="auto"/>
              <w:bottom w:val="nil"/>
              <w:right w:val="single" w:sz="4" w:space="0" w:color="auto"/>
            </w:tcBorders>
            <w:noWrap/>
            <w:vAlign w:val="bottom"/>
            <w:hideMark/>
          </w:tcPr>
          <w:p w:rsidR="0034599A" w:rsidRPr="00295DB1" w:rsidRDefault="0034599A" w:rsidP="00D179A6">
            <w:pPr>
              <w:tabs>
                <w:tab w:val="left" w:pos="3686"/>
              </w:tabs>
              <w:spacing w:after="80"/>
              <w:jc w:val="both"/>
              <w:rPr>
                <w:rFonts w:ascii="Calibri" w:hAnsi="Calibri" w:cs="Calibri"/>
                <w:color w:val="000000"/>
                <w:sz w:val="22"/>
                <w:szCs w:val="22"/>
              </w:rPr>
            </w:pPr>
            <w:r w:rsidRPr="00295DB1">
              <w:rPr>
                <w:rFonts w:ascii="Calibri" w:hAnsi="Calibri" w:cs="Calibri"/>
                <w:color w:val="000000"/>
                <w:sz w:val="22"/>
                <w:szCs w:val="22"/>
                <w:lang w:val="es-CR" w:eastAsia="es-CR"/>
              </w:rPr>
              <w:t>Carga Pesada</w:t>
            </w:r>
          </w:p>
        </w:tc>
        <w:tc>
          <w:tcPr>
            <w:tcW w:w="1281" w:type="dxa"/>
            <w:tcBorders>
              <w:top w:val="nil"/>
              <w:left w:val="nil"/>
              <w:bottom w:val="nil"/>
              <w:right w:val="single" w:sz="4" w:space="0" w:color="auto"/>
            </w:tcBorders>
            <w:noWrap/>
            <w:vAlign w:val="bottom"/>
            <w:hideMark/>
          </w:tcPr>
          <w:p w:rsidR="0034599A" w:rsidRPr="00295DB1" w:rsidRDefault="0034599A" w:rsidP="00D179A6">
            <w:pPr>
              <w:tabs>
                <w:tab w:val="left" w:pos="3686"/>
              </w:tabs>
              <w:spacing w:after="80"/>
              <w:jc w:val="center"/>
              <w:rPr>
                <w:rFonts w:ascii="Calibri" w:hAnsi="Calibri" w:cs="Calibri"/>
                <w:sz w:val="22"/>
                <w:szCs w:val="22"/>
              </w:rPr>
            </w:pPr>
            <w:r w:rsidRPr="00295DB1">
              <w:rPr>
                <w:rFonts w:ascii="Calibri" w:hAnsi="Calibri" w:cs="Calibri"/>
                <w:sz w:val="22"/>
                <w:szCs w:val="22"/>
                <w:lang w:val="es-CR" w:eastAsia="es-CR"/>
              </w:rPr>
              <w:t>¢ 14.541</w:t>
            </w:r>
          </w:p>
        </w:tc>
        <w:tc>
          <w:tcPr>
            <w:tcW w:w="1279" w:type="dxa"/>
            <w:tcBorders>
              <w:top w:val="nil"/>
              <w:left w:val="nil"/>
              <w:bottom w:val="nil"/>
              <w:right w:val="single" w:sz="4" w:space="0" w:color="auto"/>
            </w:tcBorders>
            <w:noWrap/>
            <w:vAlign w:val="center"/>
          </w:tcPr>
          <w:p w:rsidR="0034599A" w:rsidRPr="002C778B" w:rsidRDefault="0034599A" w:rsidP="00D179A6">
            <w:pPr>
              <w:jc w:val="right"/>
              <w:rPr>
                <w:rFonts w:ascii="Calibri" w:hAnsi="Calibri" w:cs="Calibri"/>
                <w:sz w:val="22"/>
                <w:szCs w:val="22"/>
                <w:lang w:val="es-CR" w:eastAsia="es-CR"/>
              </w:rPr>
            </w:pPr>
            <w:r w:rsidRPr="00295DB1">
              <w:rPr>
                <w:rFonts w:ascii="Calibri" w:hAnsi="Calibri" w:cs="Calibri"/>
                <w:sz w:val="22"/>
                <w:szCs w:val="22"/>
                <w:lang w:val="es-CR" w:eastAsia="es-CR"/>
              </w:rPr>
              <w:t>¢</w:t>
            </w:r>
            <w:r w:rsidRPr="002C778B">
              <w:rPr>
                <w:rFonts w:ascii="Calibri" w:hAnsi="Calibri" w:cs="Calibri"/>
                <w:sz w:val="22"/>
                <w:szCs w:val="22"/>
                <w:lang w:val="es-CR" w:eastAsia="es-CR"/>
              </w:rPr>
              <w:t>17.505</w:t>
            </w:r>
          </w:p>
        </w:tc>
        <w:tc>
          <w:tcPr>
            <w:tcW w:w="1273" w:type="dxa"/>
            <w:tcBorders>
              <w:top w:val="nil"/>
              <w:left w:val="nil"/>
              <w:bottom w:val="nil"/>
              <w:right w:val="single" w:sz="4" w:space="0" w:color="auto"/>
            </w:tcBorders>
          </w:tcPr>
          <w:p w:rsidR="0034599A" w:rsidRDefault="0034599A" w:rsidP="00D179A6">
            <w:pPr>
              <w:jc w:val="right"/>
            </w:pPr>
            <w:r w:rsidRPr="00DD4FC1">
              <w:rPr>
                <w:rFonts w:ascii="Calibri" w:hAnsi="Calibri" w:cs="Calibri"/>
                <w:sz w:val="22"/>
                <w:szCs w:val="22"/>
                <w:lang w:val="es-CR" w:eastAsia="es-CR"/>
              </w:rPr>
              <w:t>¢</w:t>
            </w:r>
            <w:r>
              <w:rPr>
                <w:rFonts w:ascii="Calibri" w:hAnsi="Calibri" w:cs="Calibri"/>
                <w:sz w:val="22"/>
                <w:szCs w:val="22"/>
                <w:lang w:val="es-CR" w:eastAsia="es-CR"/>
              </w:rPr>
              <w:t>2</w:t>
            </w:r>
            <w:r w:rsidRPr="00DD4FC1">
              <w:rPr>
                <w:rFonts w:ascii="Calibri" w:hAnsi="Calibri" w:cs="Calibri"/>
                <w:sz w:val="22"/>
                <w:szCs w:val="22"/>
                <w:lang w:val="es-CR" w:eastAsia="es-CR"/>
              </w:rPr>
              <w:t>.</w:t>
            </w:r>
            <w:r>
              <w:rPr>
                <w:rFonts w:ascii="Calibri" w:hAnsi="Calibri" w:cs="Calibri"/>
                <w:sz w:val="22"/>
                <w:szCs w:val="22"/>
                <w:lang w:val="es-CR" w:eastAsia="es-CR"/>
              </w:rPr>
              <w:t>964</w:t>
            </w:r>
          </w:p>
        </w:tc>
      </w:tr>
      <w:tr w:rsidR="0034599A" w:rsidRPr="00295DB1" w:rsidTr="00D179A6">
        <w:trPr>
          <w:trHeight w:val="315"/>
          <w:jc w:val="center"/>
        </w:trPr>
        <w:tc>
          <w:tcPr>
            <w:tcW w:w="2982" w:type="dxa"/>
            <w:tcBorders>
              <w:top w:val="nil"/>
              <w:left w:val="single" w:sz="4" w:space="0" w:color="auto"/>
              <w:bottom w:val="nil"/>
              <w:right w:val="single" w:sz="4" w:space="0" w:color="auto"/>
            </w:tcBorders>
            <w:noWrap/>
            <w:vAlign w:val="bottom"/>
            <w:hideMark/>
          </w:tcPr>
          <w:p w:rsidR="0034599A" w:rsidRPr="00295DB1" w:rsidRDefault="0034599A" w:rsidP="00D179A6">
            <w:pPr>
              <w:tabs>
                <w:tab w:val="left" w:pos="3686"/>
              </w:tabs>
              <w:spacing w:after="80"/>
              <w:jc w:val="both"/>
              <w:rPr>
                <w:rFonts w:ascii="Calibri" w:hAnsi="Calibri" w:cs="Calibri"/>
                <w:color w:val="000000"/>
                <w:sz w:val="22"/>
                <w:szCs w:val="22"/>
              </w:rPr>
            </w:pPr>
            <w:r w:rsidRPr="00295DB1">
              <w:rPr>
                <w:rFonts w:ascii="Calibri" w:hAnsi="Calibri" w:cs="Calibri"/>
                <w:color w:val="000000"/>
                <w:sz w:val="22"/>
                <w:szCs w:val="22"/>
                <w:lang w:val="es-CR" w:eastAsia="es-CR"/>
              </w:rPr>
              <w:t xml:space="preserve">Motos y </w:t>
            </w:r>
            <w:proofErr w:type="spellStart"/>
            <w:r w:rsidRPr="00295DB1">
              <w:rPr>
                <w:rFonts w:ascii="Calibri" w:hAnsi="Calibri" w:cs="Calibri"/>
                <w:color w:val="000000"/>
                <w:sz w:val="22"/>
                <w:szCs w:val="22"/>
                <w:lang w:val="es-CR" w:eastAsia="es-CR"/>
              </w:rPr>
              <w:t>Bicimotos</w:t>
            </w:r>
            <w:proofErr w:type="spellEnd"/>
          </w:p>
        </w:tc>
        <w:tc>
          <w:tcPr>
            <w:tcW w:w="1281" w:type="dxa"/>
            <w:tcBorders>
              <w:top w:val="nil"/>
              <w:left w:val="nil"/>
              <w:bottom w:val="nil"/>
              <w:right w:val="single" w:sz="4" w:space="0" w:color="auto"/>
            </w:tcBorders>
            <w:noWrap/>
            <w:vAlign w:val="bottom"/>
            <w:hideMark/>
          </w:tcPr>
          <w:p w:rsidR="0034599A" w:rsidRPr="00295DB1" w:rsidRDefault="0034599A" w:rsidP="00D179A6">
            <w:pPr>
              <w:tabs>
                <w:tab w:val="left" w:pos="3686"/>
              </w:tabs>
              <w:spacing w:after="80"/>
              <w:jc w:val="center"/>
              <w:rPr>
                <w:rFonts w:ascii="Calibri" w:hAnsi="Calibri" w:cs="Calibri"/>
                <w:sz w:val="22"/>
                <w:szCs w:val="22"/>
              </w:rPr>
            </w:pPr>
            <w:r w:rsidRPr="00295DB1">
              <w:rPr>
                <w:rFonts w:ascii="Calibri" w:hAnsi="Calibri" w:cs="Calibri"/>
                <w:sz w:val="22"/>
                <w:szCs w:val="22"/>
                <w:lang w:val="es-CR" w:eastAsia="es-CR"/>
              </w:rPr>
              <w:t>¢ 62.888</w:t>
            </w:r>
          </w:p>
        </w:tc>
        <w:tc>
          <w:tcPr>
            <w:tcW w:w="1279" w:type="dxa"/>
            <w:tcBorders>
              <w:top w:val="nil"/>
              <w:left w:val="nil"/>
              <w:bottom w:val="nil"/>
              <w:right w:val="single" w:sz="4" w:space="0" w:color="auto"/>
            </w:tcBorders>
            <w:noWrap/>
            <w:vAlign w:val="center"/>
          </w:tcPr>
          <w:p w:rsidR="0034599A" w:rsidRPr="002C778B" w:rsidRDefault="0034599A" w:rsidP="00D179A6">
            <w:pPr>
              <w:jc w:val="right"/>
              <w:rPr>
                <w:rFonts w:ascii="Calibri" w:hAnsi="Calibri" w:cs="Calibri"/>
                <w:sz w:val="22"/>
                <w:szCs w:val="22"/>
                <w:lang w:val="es-CR" w:eastAsia="es-CR"/>
              </w:rPr>
            </w:pPr>
            <w:r w:rsidRPr="00295DB1">
              <w:rPr>
                <w:rFonts w:ascii="Calibri" w:hAnsi="Calibri" w:cs="Calibri"/>
                <w:sz w:val="22"/>
                <w:szCs w:val="22"/>
                <w:lang w:val="es-CR" w:eastAsia="es-CR"/>
              </w:rPr>
              <w:t>¢</w:t>
            </w:r>
            <w:r w:rsidRPr="002C778B">
              <w:rPr>
                <w:rFonts w:ascii="Calibri" w:hAnsi="Calibri" w:cs="Calibri"/>
                <w:sz w:val="22"/>
                <w:szCs w:val="22"/>
                <w:lang w:val="es-CR" w:eastAsia="es-CR"/>
              </w:rPr>
              <w:t>78.147</w:t>
            </w:r>
          </w:p>
        </w:tc>
        <w:tc>
          <w:tcPr>
            <w:tcW w:w="1273" w:type="dxa"/>
            <w:tcBorders>
              <w:top w:val="nil"/>
              <w:left w:val="nil"/>
              <w:bottom w:val="nil"/>
              <w:right w:val="single" w:sz="4" w:space="0" w:color="auto"/>
            </w:tcBorders>
          </w:tcPr>
          <w:p w:rsidR="0034599A" w:rsidRDefault="0034599A" w:rsidP="00D179A6">
            <w:pPr>
              <w:jc w:val="right"/>
            </w:pPr>
            <w:r w:rsidRPr="00DD4FC1">
              <w:rPr>
                <w:rFonts w:ascii="Calibri" w:hAnsi="Calibri" w:cs="Calibri"/>
                <w:sz w:val="22"/>
                <w:szCs w:val="22"/>
                <w:lang w:val="es-CR" w:eastAsia="es-CR"/>
              </w:rPr>
              <w:t>¢1</w:t>
            </w:r>
            <w:r>
              <w:rPr>
                <w:rFonts w:ascii="Calibri" w:hAnsi="Calibri" w:cs="Calibri"/>
                <w:sz w:val="22"/>
                <w:szCs w:val="22"/>
                <w:lang w:val="es-CR" w:eastAsia="es-CR"/>
              </w:rPr>
              <w:t>5</w:t>
            </w:r>
            <w:r w:rsidRPr="00DD4FC1">
              <w:rPr>
                <w:rFonts w:ascii="Calibri" w:hAnsi="Calibri" w:cs="Calibri"/>
                <w:sz w:val="22"/>
                <w:szCs w:val="22"/>
                <w:lang w:val="es-CR" w:eastAsia="es-CR"/>
              </w:rPr>
              <w:t>.</w:t>
            </w:r>
            <w:r>
              <w:rPr>
                <w:rFonts w:ascii="Calibri" w:hAnsi="Calibri" w:cs="Calibri"/>
                <w:sz w:val="22"/>
                <w:szCs w:val="22"/>
                <w:lang w:val="es-CR" w:eastAsia="es-CR"/>
              </w:rPr>
              <w:t>259</w:t>
            </w:r>
          </w:p>
        </w:tc>
      </w:tr>
      <w:tr w:rsidR="0034599A" w:rsidRPr="00295DB1" w:rsidTr="00D179A6">
        <w:trPr>
          <w:trHeight w:val="315"/>
          <w:jc w:val="center"/>
        </w:trPr>
        <w:tc>
          <w:tcPr>
            <w:tcW w:w="2982" w:type="dxa"/>
            <w:tcBorders>
              <w:top w:val="nil"/>
              <w:left w:val="single" w:sz="4" w:space="0" w:color="auto"/>
              <w:bottom w:val="nil"/>
              <w:right w:val="single" w:sz="4" w:space="0" w:color="auto"/>
            </w:tcBorders>
            <w:noWrap/>
            <w:vAlign w:val="bottom"/>
            <w:hideMark/>
          </w:tcPr>
          <w:p w:rsidR="0034599A" w:rsidRPr="00295DB1" w:rsidRDefault="0034599A" w:rsidP="00D179A6">
            <w:pPr>
              <w:tabs>
                <w:tab w:val="left" w:pos="3686"/>
              </w:tabs>
              <w:spacing w:after="80"/>
              <w:jc w:val="both"/>
              <w:rPr>
                <w:rFonts w:ascii="Calibri" w:hAnsi="Calibri" w:cs="Calibri"/>
                <w:color w:val="000000"/>
                <w:sz w:val="22"/>
                <w:szCs w:val="22"/>
              </w:rPr>
            </w:pPr>
            <w:r w:rsidRPr="00295DB1">
              <w:rPr>
                <w:rFonts w:ascii="Calibri" w:hAnsi="Calibri" w:cs="Calibri"/>
                <w:color w:val="000000"/>
                <w:sz w:val="22"/>
                <w:szCs w:val="22"/>
                <w:lang w:val="es-CR" w:eastAsia="es-CR"/>
              </w:rPr>
              <w:t xml:space="preserve">Buses </w:t>
            </w:r>
          </w:p>
        </w:tc>
        <w:tc>
          <w:tcPr>
            <w:tcW w:w="1281" w:type="dxa"/>
            <w:tcBorders>
              <w:top w:val="nil"/>
              <w:left w:val="nil"/>
              <w:bottom w:val="nil"/>
              <w:right w:val="single" w:sz="4" w:space="0" w:color="auto"/>
            </w:tcBorders>
            <w:noWrap/>
            <w:vAlign w:val="bottom"/>
            <w:hideMark/>
          </w:tcPr>
          <w:p w:rsidR="0034599A" w:rsidRPr="00295DB1" w:rsidRDefault="0034599A" w:rsidP="00D179A6">
            <w:pPr>
              <w:tabs>
                <w:tab w:val="left" w:pos="3686"/>
              </w:tabs>
              <w:spacing w:after="80"/>
              <w:jc w:val="center"/>
              <w:rPr>
                <w:rFonts w:ascii="Calibri" w:hAnsi="Calibri" w:cs="Calibri"/>
                <w:sz w:val="22"/>
                <w:szCs w:val="22"/>
              </w:rPr>
            </w:pPr>
            <w:r w:rsidRPr="00295DB1">
              <w:rPr>
                <w:rFonts w:ascii="Calibri" w:hAnsi="Calibri" w:cs="Calibri"/>
                <w:sz w:val="22"/>
                <w:szCs w:val="22"/>
                <w:lang w:val="es-CR" w:eastAsia="es-CR"/>
              </w:rPr>
              <w:t>¢ 67.097</w:t>
            </w:r>
          </w:p>
        </w:tc>
        <w:tc>
          <w:tcPr>
            <w:tcW w:w="1279" w:type="dxa"/>
            <w:tcBorders>
              <w:top w:val="nil"/>
              <w:left w:val="nil"/>
              <w:bottom w:val="nil"/>
              <w:right w:val="single" w:sz="4" w:space="0" w:color="auto"/>
            </w:tcBorders>
            <w:noWrap/>
            <w:vAlign w:val="center"/>
          </w:tcPr>
          <w:p w:rsidR="0034599A" w:rsidRPr="002C778B" w:rsidRDefault="0034599A" w:rsidP="00D179A6">
            <w:pPr>
              <w:jc w:val="right"/>
              <w:rPr>
                <w:rFonts w:ascii="Calibri" w:hAnsi="Calibri" w:cs="Calibri"/>
                <w:sz w:val="22"/>
                <w:szCs w:val="22"/>
                <w:lang w:val="es-CR" w:eastAsia="es-CR"/>
              </w:rPr>
            </w:pPr>
            <w:r w:rsidRPr="00295DB1">
              <w:rPr>
                <w:rFonts w:ascii="Calibri" w:hAnsi="Calibri" w:cs="Calibri"/>
                <w:sz w:val="22"/>
                <w:szCs w:val="22"/>
                <w:lang w:val="es-CR" w:eastAsia="es-CR"/>
              </w:rPr>
              <w:t>¢</w:t>
            </w:r>
            <w:r w:rsidRPr="002C778B">
              <w:rPr>
                <w:rFonts w:ascii="Calibri" w:hAnsi="Calibri" w:cs="Calibri"/>
                <w:sz w:val="22"/>
                <w:szCs w:val="22"/>
                <w:lang w:val="es-CR" w:eastAsia="es-CR"/>
              </w:rPr>
              <w:t>80.399</w:t>
            </w:r>
          </w:p>
        </w:tc>
        <w:tc>
          <w:tcPr>
            <w:tcW w:w="1273" w:type="dxa"/>
            <w:tcBorders>
              <w:top w:val="nil"/>
              <w:left w:val="nil"/>
              <w:bottom w:val="nil"/>
              <w:right w:val="single" w:sz="4" w:space="0" w:color="auto"/>
            </w:tcBorders>
          </w:tcPr>
          <w:p w:rsidR="0034599A" w:rsidRDefault="0034599A" w:rsidP="00D179A6">
            <w:pPr>
              <w:jc w:val="right"/>
            </w:pPr>
            <w:r w:rsidRPr="00DD4FC1">
              <w:rPr>
                <w:rFonts w:ascii="Calibri" w:hAnsi="Calibri" w:cs="Calibri"/>
                <w:sz w:val="22"/>
                <w:szCs w:val="22"/>
                <w:lang w:val="es-CR" w:eastAsia="es-CR"/>
              </w:rPr>
              <w:t>¢1</w:t>
            </w:r>
            <w:r>
              <w:rPr>
                <w:rFonts w:ascii="Calibri" w:hAnsi="Calibri" w:cs="Calibri"/>
                <w:sz w:val="22"/>
                <w:szCs w:val="22"/>
                <w:lang w:val="es-CR" w:eastAsia="es-CR"/>
              </w:rPr>
              <w:t>3</w:t>
            </w:r>
            <w:r w:rsidRPr="00DD4FC1">
              <w:rPr>
                <w:rFonts w:ascii="Calibri" w:hAnsi="Calibri" w:cs="Calibri"/>
                <w:sz w:val="22"/>
                <w:szCs w:val="22"/>
                <w:lang w:val="es-CR" w:eastAsia="es-CR"/>
              </w:rPr>
              <w:t>.</w:t>
            </w:r>
            <w:r>
              <w:rPr>
                <w:rFonts w:ascii="Calibri" w:hAnsi="Calibri" w:cs="Calibri"/>
                <w:sz w:val="22"/>
                <w:szCs w:val="22"/>
                <w:lang w:val="es-CR" w:eastAsia="es-CR"/>
              </w:rPr>
              <w:t>302</w:t>
            </w:r>
          </w:p>
        </w:tc>
      </w:tr>
      <w:tr w:rsidR="0034599A" w:rsidRPr="00295DB1" w:rsidTr="00D179A6">
        <w:trPr>
          <w:trHeight w:val="315"/>
          <w:jc w:val="center"/>
        </w:trPr>
        <w:tc>
          <w:tcPr>
            <w:tcW w:w="2982" w:type="dxa"/>
            <w:tcBorders>
              <w:top w:val="nil"/>
              <w:left w:val="single" w:sz="4" w:space="0" w:color="auto"/>
              <w:bottom w:val="nil"/>
              <w:right w:val="single" w:sz="4" w:space="0" w:color="auto"/>
            </w:tcBorders>
            <w:noWrap/>
            <w:vAlign w:val="bottom"/>
            <w:hideMark/>
          </w:tcPr>
          <w:p w:rsidR="0034599A" w:rsidRPr="00295DB1" w:rsidRDefault="0034599A" w:rsidP="00D179A6">
            <w:pPr>
              <w:tabs>
                <w:tab w:val="left" w:pos="3686"/>
              </w:tabs>
              <w:spacing w:after="80"/>
              <w:jc w:val="both"/>
              <w:rPr>
                <w:rFonts w:ascii="Calibri" w:hAnsi="Calibri" w:cs="Calibri"/>
                <w:color w:val="000000"/>
                <w:sz w:val="22"/>
                <w:szCs w:val="22"/>
              </w:rPr>
            </w:pPr>
            <w:r w:rsidRPr="00295DB1">
              <w:rPr>
                <w:rFonts w:ascii="Calibri" w:hAnsi="Calibri" w:cs="Calibri"/>
                <w:color w:val="000000"/>
                <w:sz w:val="22"/>
                <w:szCs w:val="22"/>
                <w:lang w:val="es-CR" w:eastAsia="es-CR"/>
              </w:rPr>
              <w:t>Taxis</w:t>
            </w:r>
          </w:p>
        </w:tc>
        <w:tc>
          <w:tcPr>
            <w:tcW w:w="1281" w:type="dxa"/>
            <w:tcBorders>
              <w:top w:val="nil"/>
              <w:left w:val="nil"/>
              <w:bottom w:val="nil"/>
              <w:right w:val="single" w:sz="4" w:space="0" w:color="auto"/>
            </w:tcBorders>
            <w:noWrap/>
            <w:vAlign w:val="bottom"/>
            <w:hideMark/>
          </w:tcPr>
          <w:p w:rsidR="0034599A" w:rsidRPr="00295DB1" w:rsidRDefault="0034599A" w:rsidP="00D179A6">
            <w:pPr>
              <w:tabs>
                <w:tab w:val="left" w:pos="3686"/>
              </w:tabs>
              <w:spacing w:after="80"/>
              <w:jc w:val="center"/>
              <w:rPr>
                <w:rFonts w:ascii="Calibri" w:hAnsi="Calibri" w:cs="Calibri"/>
                <w:sz w:val="22"/>
                <w:szCs w:val="22"/>
              </w:rPr>
            </w:pPr>
            <w:r w:rsidRPr="00295DB1">
              <w:rPr>
                <w:rFonts w:ascii="Calibri" w:hAnsi="Calibri" w:cs="Calibri"/>
                <w:sz w:val="22"/>
                <w:szCs w:val="22"/>
                <w:lang w:val="es-CR" w:eastAsia="es-CR"/>
              </w:rPr>
              <w:t>¢ 53.018</w:t>
            </w:r>
          </w:p>
        </w:tc>
        <w:tc>
          <w:tcPr>
            <w:tcW w:w="1279" w:type="dxa"/>
            <w:tcBorders>
              <w:top w:val="nil"/>
              <w:left w:val="nil"/>
              <w:bottom w:val="nil"/>
              <w:right w:val="single" w:sz="4" w:space="0" w:color="auto"/>
            </w:tcBorders>
            <w:noWrap/>
            <w:vAlign w:val="center"/>
          </w:tcPr>
          <w:p w:rsidR="0034599A" w:rsidRPr="002C778B" w:rsidRDefault="0034599A" w:rsidP="00D179A6">
            <w:pPr>
              <w:jc w:val="right"/>
              <w:rPr>
                <w:rFonts w:ascii="Calibri" w:hAnsi="Calibri" w:cs="Calibri"/>
                <w:sz w:val="22"/>
                <w:szCs w:val="22"/>
                <w:lang w:val="es-CR" w:eastAsia="es-CR"/>
              </w:rPr>
            </w:pPr>
            <w:r w:rsidRPr="00295DB1">
              <w:rPr>
                <w:rFonts w:ascii="Calibri" w:hAnsi="Calibri" w:cs="Calibri"/>
                <w:sz w:val="22"/>
                <w:szCs w:val="22"/>
                <w:lang w:val="es-CR" w:eastAsia="es-CR"/>
              </w:rPr>
              <w:t>¢</w:t>
            </w:r>
            <w:r w:rsidRPr="002C778B">
              <w:rPr>
                <w:rFonts w:ascii="Calibri" w:hAnsi="Calibri" w:cs="Calibri"/>
                <w:sz w:val="22"/>
                <w:szCs w:val="22"/>
                <w:lang w:val="es-CR" w:eastAsia="es-CR"/>
              </w:rPr>
              <w:t>63.419</w:t>
            </w:r>
          </w:p>
        </w:tc>
        <w:tc>
          <w:tcPr>
            <w:tcW w:w="1273" w:type="dxa"/>
            <w:tcBorders>
              <w:top w:val="nil"/>
              <w:left w:val="nil"/>
              <w:bottom w:val="nil"/>
              <w:right w:val="single" w:sz="4" w:space="0" w:color="auto"/>
            </w:tcBorders>
          </w:tcPr>
          <w:p w:rsidR="0034599A" w:rsidRDefault="0034599A" w:rsidP="00D179A6">
            <w:pPr>
              <w:jc w:val="right"/>
            </w:pPr>
            <w:r w:rsidRPr="00DD4FC1">
              <w:rPr>
                <w:rFonts w:ascii="Calibri" w:hAnsi="Calibri" w:cs="Calibri"/>
                <w:sz w:val="22"/>
                <w:szCs w:val="22"/>
                <w:lang w:val="es-CR" w:eastAsia="es-CR"/>
              </w:rPr>
              <w:t>¢1</w:t>
            </w:r>
            <w:r>
              <w:rPr>
                <w:rFonts w:ascii="Calibri" w:hAnsi="Calibri" w:cs="Calibri"/>
                <w:sz w:val="22"/>
                <w:szCs w:val="22"/>
                <w:lang w:val="es-CR" w:eastAsia="es-CR"/>
              </w:rPr>
              <w:t>0.</w:t>
            </w:r>
            <w:r w:rsidRPr="00DD4FC1">
              <w:rPr>
                <w:rFonts w:ascii="Calibri" w:hAnsi="Calibri" w:cs="Calibri"/>
                <w:sz w:val="22"/>
                <w:szCs w:val="22"/>
                <w:lang w:val="es-CR" w:eastAsia="es-CR"/>
              </w:rPr>
              <w:t>4</w:t>
            </w:r>
            <w:r>
              <w:rPr>
                <w:rFonts w:ascii="Calibri" w:hAnsi="Calibri" w:cs="Calibri"/>
                <w:sz w:val="22"/>
                <w:szCs w:val="22"/>
                <w:lang w:val="es-CR" w:eastAsia="es-CR"/>
              </w:rPr>
              <w:t>0</w:t>
            </w:r>
            <w:r w:rsidRPr="00DD4FC1">
              <w:rPr>
                <w:rFonts w:ascii="Calibri" w:hAnsi="Calibri" w:cs="Calibri"/>
                <w:sz w:val="22"/>
                <w:szCs w:val="22"/>
                <w:lang w:val="es-CR" w:eastAsia="es-CR"/>
              </w:rPr>
              <w:t>1</w:t>
            </w:r>
          </w:p>
        </w:tc>
      </w:tr>
      <w:tr w:rsidR="0034599A" w:rsidRPr="00295DB1" w:rsidTr="00D179A6">
        <w:trPr>
          <w:trHeight w:val="315"/>
          <w:jc w:val="center"/>
        </w:trPr>
        <w:tc>
          <w:tcPr>
            <w:tcW w:w="2982" w:type="dxa"/>
            <w:tcBorders>
              <w:top w:val="nil"/>
              <w:left w:val="single" w:sz="4" w:space="0" w:color="auto"/>
              <w:bottom w:val="single" w:sz="4" w:space="0" w:color="auto"/>
              <w:right w:val="single" w:sz="4" w:space="0" w:color="auto"/>
            </w:tcBorders>
            <w:noWrap/>
            <w:vAlign w:val="bottom"/>
            <w:hideMark/>
          </w:tcPr>
          <w:p w:rsidR="0034599A" w:rsidRPr="00295DB1" w:rsidRDefault="0034599A" w:rsidP="00D179A6">
            <w:pPr>
              <w:tabs>
                <w:tab w:val="left" w:pos="3686"/>
              </w:tabs>
              <w:spacing w:after="80"/>
              <w:jc w:val="both"/>
              <w:rPr>
                <w:rFonts w:ascii="Calibri" w:hAnsi="Calibri" w:cs="Calibri"/>
                <w:color w:val="000000"/>
                <w:sz w:val="22"/>
                <w:szCs w:val="22"/>
              </w:rPr>
            </w:pPr>
            <w:r w:rsidRPr="00295DB1">
              <w:rPr>
                <w:rFonts w:ascii="Calibri" w:hAnsi="Calibri" w:cs="Calibri"/>
                <w:color w:val="000000"/>
                <w:sz w:val="22"/>
                <w:szCs w:val="22"/>
                <w:lang w:val="es-CR" w:eastAsia="es-CR"/>
              </w:rPr>
              <w:t>Equipo especial</w:t>
            </w:r>
          </w:p>
        </w:tc>
        <w:tc>
          <w:tcPr>
            <w:tcW w:w="1281" w:type="dxa"/>
            <w:tcBorders>
              <w:top w:val="nil"/>
              <w:left w:val="nil"/>
              <w:bottom w:val="single" w:sz="4" w:space="0" w:color="auto"/>
              <w:right w:val="single" w:sz="4" w:space="0" w:color="auto"/>
            </w:tcBorders>
            <w:noWrap/>
            <w:vAlign w:val="bottom"/>
            <w:hideMark/>
          </w:tcPr>
          <w:p w:rsidR="0034599A" w:rsidRPr="00295DB1" w:rsidRDefault="0034599A" w:rsidP="00D179A6">
            <w:pPr>
              <w:tabs>
                <w:tab w:val="left" w:pos="3686"/>
              </w:tabs>
              <w:spacing w:after="80"/>
              <w:jc w:val="center"/>
              <w:rPr>
                <w:rFonts w:ascii="Calibri" w:hAnsi="Calibri" w:cs="Calibri"/>
                <w:sz w:val="22"/>
                <w:szCs w:val="22"/>
              </w:rPr>
            </w:pPr>
            <w:r w:rsidRPr="00295DB1">
              <w:rPr>
                <w:rFonts w:ascii="Calibri" w:hAnsi="Calibri" w:cs="Calibri"/>
                <w:sz w:val="22"/>
                <w:szCs w:val="22"/>
                <w:lang w:val="es-CR" w:eastAsia="es-CR"/>
              </w:rPr>
              <w:t>¢ 4.201</w:t>
            </w:r>
          </w:p>
        </w:tc>
        <w:tc>
          <w:tcPr>
            <w:tcW w:w="1279" w:type="dxa"/>
            <w:tcBorders>
              <w:top w:val="nil"/>
              <w:left w:val="nil"/>
              <w:bottom w:val="single" w:sz="4" w:space="0" w:color="auto"/>
              <w:right w:val="single" w:sz="4" w:space="0" w:color="auto"/>
            </w:tcBorders>
            <w:noWrap/>
            <w:vAlign w:val="center"/>
          </w:tcPr>
          <w:p w:rsidR="0034599A" w:rsidRPr="002C778B" w:rsidRDefault="0034599A" w:rsidP="00D179A6">
            <w:pPr>
              <w:jc w:val="right"/>
              <w:rPr>
                <w:rFonts w:ascii="Calibri" w:hAnsi="Calibri" w:cs="Calibri"/>
                <w:sz w:val="22"/>
                <w:szCs w:val="22"/>
                <w:lang w:val="es-CR" w:eastAsia="es-CR"/>
              </w:rPr>
            </w:pPr>
            <w:r w:rsidRPr="00295DB1">
              <w:rPr>
                <w:rFonts w:ascii="Calibri" w:hAnsi="Calibri" w:cs="Calibri"/>
                <w:sz w:val="22"/>
                <w:szCs w:val="22"/>
                <w:lang w:val="es-CR" w:eastAsia="es-CR"/>
              </w:rPr>
              <w:t>¢</w:t>
            </w:r>
            <w:r w:rsidRPr="002C778B">
              <w:rPr>
                <w:rFonts w:ascii="Calibri" w:hAnsi="Calibri" w:cs="Calibri"/>
                <w:sz w:val="22"/>
                <w:szCs w:val="22"/>
                <w:lang w:val="es-CR" w:eastAsia="es-CR"/>
              </w:rPr>
              <w:t>3.851</w:t>
            </w:r>
          </w:p>
        </w:tc>
        <w:tc>
          <w:tcPr>
            <w:tcW w:w="1273" w:type="dxa"/>
            <w:tcBorders>
              <w:top w:val="nil"/>
              <w:left w:val="nil"/>
              <w:bottom w:val="single" w:sz="4" w:space="0" w:color="auto"/>
              <w:right w:val="single" w:sz="4" w:space="0" w:color="auto"/>
            </w:tcBorders>
          </w:tcPr>
          <w:p w:rsidR="0034599A" w:rsidRDefault="0034599A" w:rsidP="00D179A6">
            <w:pPr>
              <w:jc w:val="right"/>
            </w:pPr>
            <w:r>
              <w:rPr>
                <w:rFonts w:ascii="Calibri" w:hAnsi="Calibri" w:cs="Calibri"/>
                <w:sz w:val="22"/>
                <w:szCs w:val="22"/>
                <w:lang w:val="es-CR" w:eastAsia="es-CR"/>
              </w:rPr>
              <w:t>-</w:t>
            </w:r>
            <w:r w:rsidRPr="00DD4FC1">
              <w:rPr>
                <w:rFonts w:ascii="Calibri" w:hAnsi="Calibri" w:cs="Calibri"/>
                <w:sz w:val="22"/>
                <w:szCs w:val="22"/>
                <w:lang w:val="es-CR" w:eastAsia="es-CR"/>
              </w:rPr>
              <w:t>¢</w:t>
            </w:r>
            <w:r>
              <w:rPr>
                <w:rFonts w:ascii="Calibri" w:hAnsi="Calibri" w:cs="Calibri"/>
                <w:sz w:val="22"/>
                <w:szCs w:val="22"/>
                <w:lang w:val="es-CR" w:eastAsia="es-CR"/>
              </w:rPr>
              <w:t>350</w:t>
            </w:r>
          </w:p>
        </w:tc>
      </w:tr>
      <w:tr w:rsidR="0034599A" w:rsidRPr="002C778B" w:rsidTr="00D179A6">
        <w:trPr>
          <w:trHeight w:val="47"/>
          <w:jc w:val="center"/>
        </w:trPr>
        <w:tc>
          <w:tcPr>
            <w:tcW w:w="2982" w:type="dxa"/>
            <w:tcBorders>
              <w:top w:val="single" w:sz="4" w:space="0" w:color="auto"/>
              <w:left w:val="single" w:sz="4" w:space="0" w:color="auto"/>
              <w:bottom w:val="single" w:sz="4" w:space="0" w:color="auto"/>
              <w:right w:val="single" w:sz="4" w:space="0" w:color="auto"/>
            </w:tcBorders>
            <w:noWrap/>
            <w:vAlign w:val="center"/>
            <w:hideMark/>
          </w:tcPr>
          <w:p w:rsidR="0034599A" w:rsidRPr="00295DB1" w:rsidRDefault="0034599A" w:rsidP="00D179A6">
            <w:pPr>
              <w:tabs>
                <w:tab w:val="left" w:pos="3686"/>
              </w:tabs>
              <w:spacing w:after="80"/>
              <w:jc w:val="both"/>
              <w:rPr>
                <w:rFonts w:ascii="Calibri" w:hAnsi="Calibri" w:cs="Calibri"/>
                <w:b/>
                <w:bCs/>
                <w:color w:val="000000"/>
                <w:sz w:val="22"/>
                <w:szCs w:val="22"/>
              </w:rPr>
            </w:pPr>
            <w:r w:rsidRPr="00295DB1">
              <w:rPr>
                <w:rFonts w:ascii="Calibri" w:hAnsi="Calibri" w:cs="Calibri"/>
                <w:b/>
                <w:bCs/>
                <w:color w:val="000000"/>
                <w:sz w:val="22"/>
                <w:szCs w:val="22"/>
                <w:lang w:val="es-CR" w:eastAsia="es-CR"/>
              </w:rPr>
              <w:t>Prima Promedio Ponderado</w:t>
            </w:r>
          </w:p>
        </w:tc>
        <w:tc>
          <w:tcPr>
            <w:tcW w:w="1281" w:type="dxa"/>
            <w:tcBorders>
              <w:top w:val="single" w:sz="4" w:space="0" w:color="auto"/>
              <w:left w:val="nil"/>
              <w:bottom w:val="single" w:sz="4" w:space="0" w:color="auto"/>
              <w:right w:val="single" w:sz="4" w:space="0" w:color="auto"/>
            </w:tcBorders>
            <w:noWrap/>
            <w:vAlign w:val="center"/>
            <w:hideMark/>
          </w:tcPr>
          <w:p w:rsidR="0034599A" w:rsidRPr="00295DB1" w:rsidRDefault="0034599A" w:rsidP="00D179A6">
            <w:pPr>
              <w:tabs>
                <w:tab w:val="left" w:pos="3686"/>
              </w:tabs>
              <w:spacing w:after="80"/>
              <w:jc w:val="center"/>
              <w:rPr>
                <w:rFonts w:ascii="Calibri" w:hAnsi="Calibri" w:cs="Calibri"/>
                <w:b/>
                <w:bCs/>
                <w:sz w:val="22"/>
                <w:szCs w:val="22"/>
              </w:rPr>
            </w:pPr>
            <w:r w:rsidRPr="00295DB1">
              <w:rPr>
                <w:rFonts w:ascii="Calibri" w:hAnsi="Calibri" w:cs="Calibri"/>
                <w:b/>
                <w:bCs/>
                <w:sz w:val="22"/>
                <w:szCs w:val="22"/>
                <w:lang w:val="es-CR" w:eastAsia="es-CR"/>
              </w:rPr>
              <w:t>¢ 23.650</w:t>
            </w:r>
          </w:p>
        </w:tc>
        <w:tc>
          <w:tcPr>
            <w:tcW w:w="1279" w:type="dxa"/>
            <w:tcBorders>
              <w:top w:val="single" w:sz="4" w:space="0" w:color="auto"/>
              <w:left w:val="nil"/>
              <w:bottom w:val="single" w:sz="4" w:space="0" w:color="auto"/>
              <w:right w:val="single" w:sz="4" w:space="0" w:color="auto"/>
            </w:tcBorders>
            <w:noWrap/>
            <w:vAlign w:val="center"/>
          </w:tcPr>
          <w:p w:rsidR="0034599A" w:rsidRPr="002C778B" w:rsidRDefault="0034599A" w:rsidP="00D179A6">
            <w:pPr>
              <w:jc w:val="right"/>
              <w:rPr>
                <w:rFonts w:ascii="Calibri" w:hAnsi="Calibri" w:cs="Calibri"/>
                <w:b/>
                <w:sz w:val="22"/>
                <w:szCs w:val="22"/>
                <w:lang w:val="es-CR" w:eastAsia="es-CR"/>
              </w:rPr>
            </w:pPr>
            <w:r w:rsidRPr="002C778B">
              <w:rPr>
                <w:rFonts w:ascii="Calibri" w:hAnsi="Calibri" w:cs="Calibri"/>
                <w:b/>
                <w:sz w:val="22"/>
                <w:szCs w:val="22"/>
                <w:lang w:val="es-CR" w:eastAsia="es-CR"/>
              </w:rPr>
              <w:t>¢27.694</w:t>
            </w:r>
          </w:p>
        </w:tc>
        <w:tc>
          <w:tcPr>
            <w:tcW w:w="1273" w:type="dxa"/>
            <w:tcBorders>
              <w:top w:val="single" w:sz="4" w:space="0" w:color="auto"/>
              <w:left w:val="nil"/>
              <w:bottom w:val="single" w:sz="4" w:space="0" w:color="auto"/>
              <w:right w:val="single" w:sz="4" w:space="0" w:color="auto"/>
            </w:tcBorders>
          </w:tcPr>
          <w:p w:rsidR="0034599A" w:rsidRPr="002C778B" w:rsidRDefault="0034599A" w:rsidP="00D179A6">
            <w:pPr>
              <w:jc w:val="right"/>
              <w:rPr>
                <w:rFonts w:ascii="Calibri" w:hAnsi="Calibri" w:cs="Calibri"/>
                <w:b/>
                <w:sz w:val="22"/>
                <w:szCs w:val="22"/>
                <w:lang w:val="es-CR" w:eastAsia="es-CR"/>
              </w:rPr>
            </w:pPr>
            <w:r w:rsidRPr="002C778B">
              <w:rPr>
                <w:rFonts w:ascii="Calibri" w:hAnsi="Calibri" w:cs="Calibri"/>
                <w:b/>
                <w:sz w:val="22"/>
                <w:szCs w:val="22"/>
                <w:lang w:val="es-CR" w:eastAsia="es-CR"/>
              </w:rPr>
              <w:t>¢</w:t>
            </w:r>
            <w:r>
              <w:rPr>
                <w:rFonts w:ascii="Calibri" w:hAnsi="Calibri" w:cs="Calibri"/>
                <w:b/>
                <w:sz w:val="22"/>
                <w:szCs w:val="22"/>
                <w:lang w:val="es-CR" w:eastAsia="es-CR"/>
              </w:rPr>
              <w:t>4.044</w:t>
            </w:r>
          </w:p>
        </w:tc>
      </w:tr>
      <w:tr w:rsidR="0034599A" w:rsidRPr="002C778B" w:rsidTr="00D179A6">
        <w:trPr>
          <w:trHeight w:val="47"/>
          <w:jc w:val="center"/>
        </w:trPr>
        <w:tc>
          <w:tcPr>
            <w:tcW w:w="681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34599A" w:rsidRPr="002C778B" w:rsidRDefault="0034599A" w:rsidP="00D179A6">
            <w:pPr>
              <w:jc w:val="right"/>
              <w:rPr>
                <w:rFonts w:ascii="Calibri" w:hAnsi="Calibri" w:cs="Calibri"/>
                <w:b/>
                <w:bCs/>
                <w:color w:val="000000"/>
                <w:sz w:val="22"/>
                <w:szCs w:val="22"/>
                <w:lang w:val="es-CR" w:eastAsia="es-CR"/>
              </w:rPr>
            </w:pPr>
            <w:r w:rsidRPr="002C778B">
              <w:rPr>
                <w:rFonts w:ascii="Calibri" w:hAnsi="Calibri" w:cs="Calibri"/>
                <w:b/>
                <w:bCs/>
                <w:color w:val="000000"/>
                <w:sz w:val="22"/>
                <w:szCs w:val="22"/>
                <w:lang w:val="es-CR" w:eastAsia="es-CR"/>
              </w:rPr>
              <w:t>  </w:t>
            </w:r>
            <w:r>
              <w:rPr>
                <w:rFonts w:ascii="Calibri" w:hAnsi="Calibri" w:cs="Calibri"/>
                <w:b/>
                <w:bCs/>
                <w:color w:val="000000"/>
                <w:sz w:val="22"/>
                <w:szCs w:val="22"/>
                <w:lang w:val="es-CR" w:eastAsia="es-CR"/>
              </w:rPr>
              <w:t xml:space="preserve">                                                             </w:t>
            </w:r>
            <w:r w:rsidRPr="002C778B">
              <w:rPr>
                <w:rFonts w:ascii="Calibri" w:hAnsi="Calibri" w:cs="Calibri"/>
                <w:b/>
                <w:bCs/>
                <w:color w:val="000000"/>
                <w:sz w:val="22"/>
                <w:szCs w:val="22"/>
                <w:lang w:val="es-CR" w:eastAsia="es-CR"/>
              </w:rPr>
              <w:t>Cobertura ¢3,5 millones</w:t>
            </w:r>
          </w:p>
        </w:tc>
      </w:tr>
      <w:tr w:rsidR="00533770" w:rsidRPr="002C778B" w:rsidTr="00D179A6">
        <w:trPr>
          <w:trHeight w:val="47"/>
          <w:jc w:val="center"/>
        </w:trPr>
        <w:tc>
          <w:tcPr>
            <w:tcW w:w="2982" w:type="dxa"/>
            <w:tcBorders>
              <w:top w:val="single" w:sz="4" w:space="0" w:color="auto"/>
              <w:left w:val="single" w:sz="4" w:space="0" w:color="auto"/>
              <w:bottom w:val="single" w:sz="4" w:space="0" w:color="auto"/>
              <w:right w:val="single" w:sz="4" w:space="0" w:color="auto"/>
            </w:tcBorders>
            <w:noWrap/>
            <w:vAlign w:val="center"/>
          </w:tcPr>
          <w:p w:rsidR="00533770" w:rsidRPr="002C778B" w:rsidRDefault="00533770" w:rsidP="00D179A6">
            <w:pPr>
              <w:jc w:val="both"/>
              <w:rPr>
                <w:rFonts w:ascii="Calibri" w:hAnsi="Calibri" w:cs="Calibri"/>
                <w:b/>
                <w:bCs/>
                <w:color w:val="000000"/>
                <w:sz w:val="22"/>
                <w:szCs w:val="22"/>
                <w:lang w:val="es-CR" w:eastAsia="es-CR"/>
              </w:rPr>
            </w:pPr>
            <w:r w:rsidRPr="002C778B">
              <w:rPr>
                <w:rFonts w:ascii="Calibri" w:hAnsi="Calibri" w:cs="Calibri"/>
                <w:b/>
                <w:bCs/>
                <w:color w:val="000000"/>
                <w:sz w:val="22"/>
                <w:szCs w:val="22"/>
                <w:lang w:val="es-CR" w:eastAsia="es-CR"/>
              </w:rPr>
              <w:t xml:space="preserve">Motos y </w:t>
            </w:r>
            <w:proofErr w:type="spellStart"/>
            <w:r w:rsidRPr="002C778B">
              <w:rPr>
                <w:rFonts w:ascii="Calibri" w:hAnsi="Calibri" w:cs="Calibri"/>
                <w:b/>
                <w:bCs/>
                <w:color w:val="000000"/>
                <w:sz w:val="22"/>
                <w:szCs w:val="22"/>
                <w:lang w:val="es-CR" w:eastAsia="es-CR"/>
              </w:rPr>
              <w:t>Bicimotos</w:t>
            </w:r>
            <w:proofErr w:type="spellEnd"/>
            <w:r w:rsidRPr="002C778B">
              <w:rPr>
                <w:rFonts w:ascii="Calibri" w:hAnsi="Calibri" w:cs="Calibri"/>
                <w:b/>
                <w:bCs/>
                <w:color w:val="000000"/>
                <w:sz w:val="22"/>
                <w:szCs w:val="22"/>
                <w:lang w:val="es-CR" w:eastAsia="es-CR"/>
              </w:rPr>
              <w:t xml:space="preserve"> </w:t>
            </w:r>
          </w:p>
        </w:tc>
        <w:tc>
          <w:tcPr>
            <w:tcW w:w="1281" w:type="dxa"/>
            <w:tcBorders>
              <w:top w:val="single" w:sz="4" w:space="0" w:color="auto"/>
              <w:left w:val="nil"/>
              <w:bottom w:val="single" w:sz="4" w:space="0" w:color="auto"/>
              <w:right w:val="single" w:sz="4" w:space="0" w:color="auto"/>
            </w:tcBorders>
            <w:noWrap/>
            <w:vAlign w:val="center"/>
          </w:tcPr>
          <w:p w:rsidR="00533770" w:rsidRDefault="00533770">
            <w:pPr>
              <w:jc w:val="right"/>
              <w:rPr>
                <w:rFonts w:ascii="Calibri" w:hAnsi="Calibri" w:cs="Calibri"/>
                <w:b/>
                <w:bCs/>
                <w:color w:val="000000"/>
                <w:sz w:val="22"/>
                <w:szCs w:val="22"/>
                <w:lang w:eastAsia="es-CR"/>
              </w:rPr>
            </w:pPr>
            <w:r>
              <w:rPr>
                <w:rFonts w:ascii="Calibri" w:hAnsi="Calibri" w:cs="Calibri"/>
                <w:b/>
                <w:bCs/>
                <w:color w:val="000000"/>
                <w:lang w:eastAsia="es-CR"/>
              </w:rPr>
              <w:t>¢ 48.581</w:t>
            </w:r>
          </w:p>
        </w:tc>
        <w:tc>
          <w:tcPr>
            <w:tcW w:w="1279" w:type="dxa"/>
            <w:tcBorders>
              <w:top w:val="single" w:sz="4" w:space="0" w:color="auto"/>
              <w:left w:val="nil"/>
              <w:bottom w:val="single" w:sz="4" w:space="0" w:color="auto"/>
              <w:right w:val="single" w:sz="4" w:space="0" w:color="auto"/>
            </w:tcBorders>
            <w:vAlign w:val="center"/>
          </w:tcPr>
          <w:p w:rsidR="00533770" w:rsidRDefault="00533770">
            <w:pPr>
              <w:jc w:val="right"/>
              <w:rPr>
                <w:rFonts w:ascii="Calibri" w:hAnsi="Calibri" w:cs="Calibri"/>
                <w:b/>
                <w:bCs/>
                <w:color w:val="000000"/>
                <w:sz w:val="22"/>
                <w:szCs w:val="22"/>
                <w:lang w:eastAsia="es-CR"/>
              </w:rPr>
            </w:pPr>
            <w:r>
              <w:rPr>
                <w:rFonts w:ascii="Calibri" w:hAnsi="Calibri" w:cs="Calibri"/>
                <w:b/>
                <w:bCs/>
                <w:color w:val="000000"/>
                <w:lang w:eastAsia="es-CR"/>
              </w:rPr>
              <w:t>¢60.713</w:t>
            </w:r>
          </w:p>
        </w:tc>
        <w:tc>
          <w:tcPr>
            <w:tcW w:w="1273" w:type="dxa"/>
            <w:tcBorders>
              <w:top w:val="single" w:sz="4" w:space="0" w:color="auto"/>
              <w:left w:val="nil"/>
              <w:bottom w:val="single" w:sz="4" w:space="0" w:color="auto"/>
              <w:right w:val="single" w:sz="4" w:space="0" w:color="auto"/>
            </w:tcBorders>
          </w:tcPr>
          <w:p w:rsidR="00533770" w:rsidRDefault="00533770">
            <w:pPr>
              <w:jc w:val="right"/>
              <w:rPr>
                <w:rFonts w:ascii="Calibri" w:hAnsi="Calibri" w:cs="Calibri"/>
                <w:b/>
                <w:bCs/>
                <w:color w:val="000000"/>
                <w:sz w:val="22"/>
                <w:szCs w:val="22"/>
                <w:lang w:eastAsia="es-CR"/>
              </w:rPr>
            </w:pPr>
            <w:r>
              <w:rPr>
                <w:rFonts w:ascii="Calibri" w:hAnsi="Calibri" w:cs="Calibri"/>
                <w:b/>
                <w:bCs/>
                <w:color w:val="000000"/>
                <w:lang w:eastAsia="es-CR"/>
              </w:rPr>
              <w:t>¢12.132</w:t>
            </w:r>
          </w:p>
        </w:tc>
      </w:tr>
    </w:tbl>
    <w:p w:rsidR="007776D6" w:rsidRDefault="007776D6" w:rsidP="007776D6">
      <w:pPr>
        <w:tabs>
          <w:tab w:val="left" w:pos="3686"/>
        </w:tabs>
        <w:spacing w:after="200"/>
        <w:jc w:val="both"/>
        <w:rPr>
          <w:rFonts w:ascii="Calibri" w:hAnsi="Calibri"/>
          <w:sz w:val="22"/>
          <w:szCs w:val="22"/>
          <w:lang w:val="es-CR" w:eastAsia="es-CR"/>
        </w:rPr>
      </w:pPr>
    </w:p>
    <w:p w:rsidR="007776D6" w:rsidRDefault="007776D6" w:rsidP="00295DB1">
      <w:pPr>
        <w:tabs>
          <w:tab w:val="left" w:pos="3686"/>
        </w:tabs>
        <w:spacing w:after="200"/>
        <w:jc w:val="both"/>
        <w:rPr>
          <w:rFonts w:ascii="Calibri" w:hAnsi="Calibri"/>
          <w:sz w:val="22"/>
          <w:szCs w:val="22"/>
          <w:lang w:val="es-CR" w:eastAsia="es-CR"/>
        </w:rPr>
      </w:pPr>
    </w:p>
    <w:p w:rsidR="007776D6" w:rsidRDefault="007776D6" w:rsidP="00295DB1">
      <w:pPr>
        <w:tabs>
          <w:tab w:val="left" w:pos="3686"/>
        </w:tabs>
        <w:spacing w:after="200"/>
        <w:jc w:val="both"/>
        <w:rPr>
          <w:rFonts w:ascii="Calibri" w:hAnsi="Calibri"/>
          <w:sz w:val="22"/>
          <w:szCs w:val="22"/>
          <w:lang w:val="es-CR" w:eastAsia="es-CR"/>
        </w:rPr>
      </w:pPr>
    </w:p>
    <w:sectPr w:rsidR="007776D6" w:rsidSect="00C4498B">
      <w:headerReference w:type="even" r:id="rId9"/>
      <w:headerReference w:type="default" r:id="rId10"/>
      <w:footerReference w:type="default" r:id="rId11"/>
      <w:headerReference w:type="first" r:id="rId12"/>
      <w:footerReference w:type="first" r:id="rId13"/>
      <w:pgSz w:w="12240" w:h="15840" w:code="1"/>
      <w:pgMar w:top="1134" w:right="1418" w:bottom="1134" w:left="1418"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B8C" w:rsidRDefault="00836B8C">
      <w:r>
        <w:separator/>
      </w:r>
    </w:p>
  </w:endnote>
  <w:endnote w:type="continuationSeparator" w:id="0">
    <w:p w:rsidR="00836B8C" w:rsidRDefault="0083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062" w:rsidRDefault="003B6062" w:rsidP="003B6062">
    <w:pPr>
      <w:pStyle w:val="Piedepgina"/>
      <w:pBdr>
        <w:top w:val="single" w:sz="4" w:space="1" w:color="auto"/>
      </w:pBdr>
      <w:rPr>
        <w:sz w:val="16"/>
        <w:szCs w:val="16"/>
        <w:lang w:val="es-CR"/>
      </w:rPr>
    </w:pPr>
  </w:p>
  <w:p w:rsidR="003B6062" w:rsidRPr="00A47C57" w:rsidRDefault="003B6062" w:rsidP="003B6062">
    <w:pPr>
      <w:pStyle w:val="Piedepgina"/>
      <w:jc w:val="right"/>
      <w:rPr>
        <w:rFonts w:asciiTheme="minorHAnsi" w:hAnsiTheme="minorHAnsi"/>
        <w:sz w:val="16"/>
        <w:szCs w:val="16"/>
        <w:lang w:val="es-CR"/>
      </w:rPr>
    </w:pPr>
    <w:r w:rsidRPr="00A47C57">
      <w:rPr>
        <w:rFonts w:asciiTheme="minorHAnsi" w:hAnsiTheme="minorHAnsi"/>
        <w:sz w:val="16"/>
        <w:szCs w:val="16"/>
        <w:lang w:val="es-CR"/>
      </w:rPr>
      <w:t>Teléfonos: 2243-5108, 2243-5103  •  Fax: 2243-5151</w:t>
    </w:r>
  </w:p>
  <w:p w:rsidR="003B6062" w:rsidRPr="00A47C57" w:rsidRDefault="00A47C57" w:rsidP="003B6062">
    <w:pPr>
      <w:pStyle w:val="Piedepgina"/>
      <w:jc w:val="right"/>
      <w:rPr>
        <w:rFonts w:asciiTheme="minorHAnsi" w:hAnsiTheme="minorHAnsi"/>
        <w:sz w:val="16"/>
        <w:szCs w:val="16"/>
      </w:rPr>
    </w:pPr>
    <w:r w:rsidRPr="00A47C57">
      <w:rPr>
        <w:rFonts w:asciiTheme="minorHAnsi" w:hAnsiTheme="minorHAnsi"/>
        <w:sz w:val="16"/>
        <w:szCs w:val="16"/>
      </w:rPr>
      <w:t xml:space="preserve">Dirección: </w:t>
    </w:r>
    <w:r w:rsidR="003B6062" w:rsidRPr="00A47C57">
      <w:rPr>
        <w:rFonts w:asciiTheme="minorHAnsi" w:hAnsiTheme="minorHAnsi"/>
        <w:sz w:val="16"/>
        <w:szCs w:val="16"/>
      </w:rPr>
      <w:t>Edificio Torre del Este, Piso 8</w:t>
    </w:r>
  </w:p>
  <w:p w:rsidR="003B6062" w:rsidRDefault="00836B8C" w:rsidP="003B6062">
    <w:pPr>
      <w:pStyle w:val="Piedepgina"/>
      <w:jc w:val="right"/>
      <w:rPr>
        <w:rStyle w:val="Hipervnculo"/>
        <w:rFonts w:asciiTheme="minorHAnsi" w:hAnsiTheme="minorHAnsi"/>
        <w:sz w:val="16"/>
        <w:szCs w:val="16"/>
      </w:rPr>
    </w:pPr>
    <w:hyperlink r:id="rId1" w:history="1">
      <w:r w:rsidR="00A47C57">
        <w:rPr>
          <w:rStyle w:val="Hipervnculo"/>
          <w:rFonts w:asciiTheme="minorHAnsi" w:hAnsiTheme="minorHAnsi"/>
          <w:sz w:val="16"/>
          <w:szCs w:val="16"/>
        </w:rPr>
        <w:t>www.sugese.fi.cr</w:t>
      </w:r>
    </w:hyperlink>
  </w:p>
  <w:p w:rsidR="00A47C57" w:rsidRPr="00A47C57" w:rsidRDefault="00A47C57" w:rsidP="003B6062">
    <w:pPr>
      <w:pStyle w:val="Piedepgina"/>
      <w:jc w:val="right"/>
      <w:rPr>
        <w:rFonts w:asciiTheme="minorHAnsi" w:hAnsi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DB1" w:rsidRPr="00321681" w:rsidRDefault="00295DB1" w:rsidP="00295DB1">
    <w:pPr>
      <w:pStyle w:val="Piedepgina"/>
      <w:tabs>
        <w:tab w:val="clear" w:pos="8838"/>
      </w:tabs>
      <w:jc w:val="right"/>
      <w:rPr>
        <w:rFonts w:asciiTheme="minorHAnsi" w:hAnsiTheme="minorHAnsi" w:cstheme="minorHAnsi"/>
        <w:sz w:val="16"/>
        <w:szCs w:val="16"/>
      </w:rPr>
    </w:pPr>
  </w:p>
  <w:p w:rsidR="00F120CC" w:rsidRPr="00321681" w:rsidRDefault="00F120CC" w:rsidP="00121F8C">
    <w:pPr>
      <w:pStyle w:val="Piedepgina"/>
      <w:tabs>
        <w:tab w:val="clear" w:pos="8838"/>
      </w:tabs>
      <w:jc w:val="right"/>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B8C" w:rsidRDefault="00836B8C">
      <w:r>
        <w:separator/>
      </w:r>
    </w:p>
  </w:footnote>
  <w:footnote w:type="continuationSeparator" w:id="0">
    <w:p w:rsidR="00836B8C" w:rsidRDefault="00836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D97" w:rsidRDefault="000A5A91">
    <w:pPr>
      <w:pStyle w:val="Encabezado"/>
      <w:framePr w:wrap="around" w:vAnchor="text" w:hAnchor="margin" w:y="1"/>
      <w:rPr>
        <w:rStyle w:val="Nmerodepgina"/>
      </w:rPr>
    </w:pPr>
    <w:r>
      <w:rPr>
        <w:rStyle w:val="Nmerodepgina"/>
      </w:rPr>
      <w:fldChar w:fldCharType="begin"/>
    </w:r>
    <w:r w:rsidR="00F84D97">
      <w:rPr>
        <w:rStyle w:val="Nmerodepgina"/>
      </w:rPr>
      <w:instrText xml:space="preserve">PAGE  </w:instrText>
    </w:r>
    <w:r>
      <w:rPr>
        <w:rStyle w:val="Nmerodepgina"/>
      </w:rPr>
      <w:fldChar w:fldCharType="end"/>
    </w:r>
  </w:p>
  <w:p w:rsidR="00F84D97" w:rsidRDefault="00F84D97">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8D" w:rsidRPr="001E4DCC" w:rsidRDefault="003B6062" w:rsidP="001E4DCC">
    <w:pPr>
      <w:pStyle w:val="Encabezado"/>
      <w:jc w:val="center"/>
      <w:rPr>
        <w:lang w:val="es-MX"/>
      </w:rPr>
    </w:pPr>
    <w:r>
      <w:rPr>
        <w:noProof/>
        <w:lang w:val="es-CR" w:eastAsia="es-CR"/>
      </w:rPr>
      <w:drawing>
        <wp:inline distT="0" distB="0" distL="0" distR="0" wp14:anchorId="6C2790C6" wp14:editId="44E9E820">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D97" w:rsidRDefault="00B80807" w:rsidP="005C7A57">
    <w:pPr>
      <w:pStyle w:val="Encabezado"/>
      <w:jc w:val="center"/>
    </w:pPr>
    <w:r>
      <w:rPr>
        <w:noProof/>
        <w:lang w:val="es-CR" w:eastAsia="es-CR"/>
      </w:rPr>
      <w:drawing>
        <wp:inline distT="0" distB="0" distL="0" distR="0" wp14:anchorId="5C7AF88D" wp14:editId="749E2CC2">
          <wp:extent cx="1209580" cy="971550"/>
          <wp:effectExtent l="19050" t="0" r="0" b="0"/>
          <wp:docPr id="2"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209580" cy="971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62182"/>
    <w:multiLevelType w:val="hybridMultilevel"/>
    <w:tmpl w:val="6F36F3B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2">
    <w:nsid w:val="72A31D50"/>
    <w:multiLevelType w:val="hybridMultilevel"/>
    <w:tmpl w:val="8FC293D8"/>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2E"/>
    <w:rsid w:val="000113D5"/>
    <w:rsid w:val="00013E22"/>
    <w:rsid w:val="00014821"/>
    <w:rsid w:val="00016538"/>
    <w:rsid w:val="00024AB0"/>
    <w:rsid w:val="00027FAE"/>
    <w:rsid w:val="00030F07"/>
    <w:rsid w:val="000325E2"/>
    <w:rsid w:val="00033012"/>
    <w:rsid w:val="00045520"/>
    <w:rsid w:val="00050434"/>
    <w:rsid w:val="00051000"/>
    <w:rsid w:val="000514B1"/>
    <w:rsid w:val="0005572B"/>
    <w:rsid w:val="00056775"/>
    <w:rsid w:val="000574D9"/>
    <w:rsid w:val="00061411"/>
    <w:rsid w:val="00065B06"/>
    <w:rsid w:val="000719F3"/>
    <w:rsid w:val="00090507"/>
    <w:rsid w:val="00090F51"/>
    <w:rsid w:val="00093B81"/>
    <w:rsid w:val="000A267E"/>
    <w:rsid w:val="000A586B"/>
    <w:rsid w:val="000A5A91"/>
    <w:rsid w:val="000B0545"/>
    <w:rsid w:val="000B5681"/>
    <w:rsid w:val="000C68A3"/>
    <w:rsid w:val="000D094B"/>
    <w:rsid w:val="000D3384"/>
    <w:rsid w:val="000D3997"/>
    <w:rsid w:val="000D5BAF"/>
    <w:rsid w:val="000D69F0"/>
    <w:rsid w:val="000E1FBB"/>
    <w:rsid w:val="000F1BA8"/>
    <w:rsid w:val="000F3C66"/>
    <w:rsid w:val="000F5939"/>
    <w:rsid w:val="000F66FA"/>
    <w:rsid w:val="00102BE3"/>
    <w:rsid w:val="00103125"/>
    <w:rsid w:val="00105BC7"/>
    <w:rsid w:val="00111065"/>
    <w:rsid w:val="001140BE"/>
    <w:rsid w:val="00121F8C"/>
    <w:rsid w:val="00122804"/>
    <w:rsid w:val="001248DC"/>
    <w:rsid w:val="0012754E"/>
    <w:rsid w:val="00133594"/>
    <w:rsid w:val="0014087D"/>
    <w:rsid w:val="0014555A"/>
    <w:rsid w:val="00146E87"/>
    <w:rsid w:val="00147D27"/>
    <w:rsid w:val="00150032"/>
    <w:rsid w:val="001560A7"/>
    <w:rsid w:val="00160E5F"/>
    <w:rsid w:val="00161294"/>
    <w:rsid w:val="00162C54"/>
    <w:rsid w:val="00172606"/>
    <w:rsid w:val="00181E1F"/>
    <w:rsid w:val="0018755A"/>
    <w:rsid w:val="00190D2D"/>
    <w:rsid w:val="00190F54"/>
    <w:rsid w:val="00194074"/>
    <w:rsid w:val="001947EA"/>
    <w:rsid w:val="001956B1"/>
    <w:rsid w:val="001A0BF4"/>
    <w:rsid w:val="001A161B"/>
    <w:rsid w:val="001A164D"/>
    <w:rsid w:val="001A455E"/>
    <w:rsid w:val="001A4791"/>
    <w:rsid w:val="001B2D7F"/>
    <w:rsid w:val="001B527D"/>
    <w:rsid w:val="001B592B"/>
    <w:rsid w:val="001B6F26"/>
    <w:rsid w:val="001C029F"/>
    <w:rsid w:val="001C33C2"/>
    <w:rsid w:val="001C4742"/>
    <w:rsid w:val="001E46F7"/>
    <w:rsid w:val="001E4DCC"/>
    <w:rsid w:val="001E51CD"/>
    <w:rsid w:val="001F2A9D"/>
    <w:rsid w:val="002029CB"/>
    <w:rsid w:val="00220A32"/>
    <w:rsid w:val="00232849"/>
    <w:rsid w:val="00233024"/>
    <w:rsid w:val="00233334"/>
    <w:rsid w:val="00244774"/>
    <w:rsid w:val="0024521C"/>
    <w:rsid w:val="002461EC"/>
    <w:rsid w:val="002514CD"/>
    <w:rsid w:val="00253E5B"/>
    <w:rsid w:val="0025677E"/>
    <w:rsid w:val="002575C2"/>
    <w:rsid w:val="00260E93"/>
    <w:rsid w:val="002623EB"/>
    <w:rsid w:val="00264AA4"/>
    <w:rsid w:val="0026672E"/>
    <w:rsid w:val="0027226A"/>
    <w:rsid w:val="00277BC2"/>
    <w:rsid w:val="00281606"/>
    <w:rsid w:val="00286C9F"/>
    <w:rsid w:val="002906FE"/>
    <w:rsid w:val="00292F73"/>
    <w:rsid w:val="00295DB1"/>
    <w:rsid w:val="00297D0F"/>
    <w:rsid w:val="002B23CB"/>
    <w:rsid w:val="002B321F"/>
    <w:rsid w:val="002B4E53"/>
    <w:rsid w:val="002B653F"/>
    <w:rsid w:val="002B7E38"/>
    <w:rsid w:val="002C1623"/>
    <w:rsid w:val="002C680D"/>
    <w:rsid w:val="002D479E"/>
    <w:rsid w:val="002E0A7C"/>
    <w:rsid w:val="002E4DF5"/>
    <w:rsid w:val="002E4F06"/>
    <w:rsid w:val="002F3C92"/>
    <w:rsid w:val="00300B35"/>
    <w:rsid w:val="003023A7"/>
    <w:rsid w:val="0031178C"/>
    <w:rsid w:val="00317C45"/>
    <w:rsid w:val="00321681"/>
    <w:rsid w:val="0033182D"/>
    <w:rsid w:val="00332236"/>
    <w:rsid w:val="003440CE"/>
    <w:rsid w:val="0034599A"/>
    <w:rsid w:val="003614BC"/>
    <w:rsid w:val="00361804"/>
    <w:rsid w:val="00375F87"/>
    <w:rsid w:val="00376365"/>
    <w:rsid w:val="00376C18"/>
    <w:rsid w:val="003777F1"/>
    <w:rsid w:val="00380945"/>
    <w:rsid w:val="0039460B"/>
    <w:rsid w:val="003A68FC"/>
    <w:rsid w:val="003B3A13"/>
    <w:rsid w:val="003B6062"/>
    <w:rsid w:val="003C0221"/>
    <w:rsid w:val="003C1949"/>
    <w:rsid w:val="003D78EA"/>
    <w:rsid w:val="003E2712"/>
    <w:rsid w:val="003E3BB6"/>
    <w:rsid w:val="003F63E7"/>
    <w:rsid w:val="00403A02"/>
    <w:rsid w:val="004055D4"/>
    <w:rsid w:val="004122AE"/>
    <w:rsid w:val="00414BEF"/>
    <w:rsid w:val="00417212"/>
    <w:rsid w:val="00422FB3"/>
    <w:rsid w:val="00424D06"/>
    <w:rsid w:val="00426055"/>
    <w:rsid w:val="0042696D"/>
    <w:rsid w:val="00426D67"/>
    <w:rsid w:val="00437678"/>
    <w:rsid w:val="0044425F"/>
    <w:rsid w:val="0045352C"/>
    <w:rsid w:val="00457B2E"/>
    <w:rsid w:val="00460EA5"/>
    <w:rsid w:val="00465590"/>
    <w:rsid w:val="004659D3"/>
    <w:rsid w:val="0047025D"/>
    <w:rsid w:val="0047444E"/>
    <w:rsid w:val="00480AA2"/>
    <w:rsid w:val="004844FF"/>
    <w:rsid w:val="00484CE2"/>
    <w:rsid w:val="00485293"/>
    <w:rsid w:val="00487C9C"/>
    <w:rsid w:val="004935FD"/>
    <w:rsid w:val="0049605F"/>
    <w:rsid w:val="004A0703"/>
    <w:rsid w:val="004A279B"/>
    <w:rsid w:val="004A6224"/>
    <w:rsid w:val="004B04E8"/>
    <w:rsid w:val="004B3B14"/>
    <w:rsid w:val="004C5227"/>
    <w:rsid w:val="004C606C"/>
    <w:rsid w:val="004D3556"/>
    <w:rsid w:val="004F1CF4"/>
    <w:rsid w:val="004F29BF"/>
    <w:rsid w:val="004F54F5"/>
    <w:rsid w:val="00500FDA"/>
    <w:rsid w:val="00501F7E"/>
    <w:rsid w:val="00521F14"/>
    <w:rsid w:val="00523E65"/>
    <w:rsid w:val="00524A1F"/>
    <w:rsid w:val="00526E32"/>
    <w:rsid w:val="005274A1"/>
    <w:rsid w:val="00533770"/>
    <w:rsid w:val="005341DE"/>
    <w:rsid w:val="0053531C"/>
    <w:rsid w:val="00540D4C"/>
    <w:rsid w:val="0054523D"/>
    <w:rsid w:val="005538EF"/>
    <w:rsid w:val="00554443"/>
    <w:rsid w:val="0057017A"/>
    <w:rsid w:val="00571BC3"/>
    <w:rsid w:val="00573257"/>
    <w:rsid w:val="005770BE"/>
    <w:rsid w:val="00577373"/>
    <w:rsid w:val="00583FA3"/>
    <w:rsid w:val="00591066"/>
    <w:rsid w:val="005929D6"/>
    <w:rsid w:val="00595D6D"/>
    <w:rsid w:val="005A25EF"/>
    <w:rsid w:val="005A33B3"/>
    <w:rsid w:val="005A53E9"/>
    <w:rsid w:val="005A7CED"/>
    <w:rsid w:val="005B1992"/>
    <w:rsid w:val="005C43C8"/>
    <w:rsid w:val="005C7A57"/>
    <w:rsid w:val="005D3256"/>
    <w:rsid w:val="005D4878"/>
    <w:rsid w:val="005E67CE"/>
    <w:rsid w:val="005F2A3A"/>
    <w:rsid w:val="005F31F4"/>
    <w:rsid w:val="005F4685"/>
    <w:rsid w:val="005F7758"/>
    <w:rsid w:val="005F7ADA"/>
    <w:rsid w:val="00600EE0"/>
    <w:rsid w:val="00607BD0"/>
    <w:rsid w:val="006168C8"/>
    <w:rsid w:val="006202DD"/>
    <w:rsid w:val="006216A7"/>
    <w:rsid w:val="00631CC4"/>
    <w:rsid w:val="00635033"/>
    <w:rsid w:val="00643CC6"/>
    <w:rsid w:val="0064428E"/>
    <w:rsid w:val="0065445D"/>
    <w:rsid w:val="00663A9C"/>
    <w:rsid w:val="00663AD9"/>
    <w:rsid w:val="006648B9"/>
    <w:rsid w:val="006757D4"/>
    <w:rsid w:val="00685368"/>
    <w:rsid w:val="00686DE0"/>
    <w:rsid w:val="0068794F"/>
    <w:rsid w:val="006939F8"/>
    <w:rsid w:val="00695CC6"/>
    <w:rsid w:val="006A1107"/>
    <w:rsid w:val="006A3254"/>
    <w:rsid w:val="006A4998"/>
    <w:rsid w:val="006A5203"/>
    <w:rsid w:val="006A6EAE"/>
    <w:rsid w:val="006B10DC"/>
    <w:rsid w:val="006B5765"/>
    <w:rsid w:val="006C1494"/>
    <w:rsid w:val="006C3214"/>
    <w:rsid w:val="006C5D3B"/>
    <w:rsid w:val="006D5C11"/>
    <w:rsid w:val="006D6FEC"/>
    <w:rsid w:val="006E0DE9"/>
    <w:rsid w:val="006E0E68"/>
    <w:rsid w:val="006E44B8"/>
    <w:rsid w:val="00705ED0"/>
    <w:rsid w:val="007118D7"/>
    <w:rsid w:val="0072574F"/>
    <w:rsid w:val="00726094"/>
    <w:rsid w:val="0074619D"/>
    <w:rsid w:val="0075227C"/>
    <w:rsid w:val="007525D3"/>
    <w:rsid w:val="00761366"/>
    <w:rsid w:val="00763C85"/>
    <w:rsid w:val="0076408A"/>
    <w:rsid w:val="00765812"/>
    <w:rsid w:val="00772C48"/>
    <w:rsid w:val="00774192"/>
    <w:rsid w:val="007773FA"/>
    <w:rsid w:val="007776D6"/>
    <w:rsid w:val="0078215A"/>
    <w:rsid w:val="00786248"/>
    <w:rsid w:val="00786294"/>
    <w:rsid w:val="00791820"/>
    <w:rsid w:val="00795933"/>
    <w:rsid w:val="007A0208"/>
    <w:rsid w:val="007A39F5"/>
    <w:rsid w:val="007A4E30"/>
    <w:rsid w:val="007B163A"/>
    <w:rsid w:val="007B4649"/>
    <w:rsid w:val="007B5150"/>
    <w:rsid w:val="007B53FE"/>
    <w:rsid w:val="007B558C"/>
    <w:rsid w:val="007B55AB"/>
    <w:rsid w:val="007B6025"/>
    <w:rsid w:val="007C0F6B"/>
    <w:rsid w:val="007C156E"/>
    <w:rsid w:val="007C19F3"/>
    <w:rsid w:val="007C6A4F"/>
    <w:rsid w:val="007C7D1E"/>
    <w:rsid w:val="007D0776"/>
    <w:rsid w:val="007D0B90"/>
    <w:rsid w:val="007E4307"/>
    <w:rsid w:val="00807B54"/>
    <w:rsid w:val="008166B1"/>
    <w:rsid w:val="008211F2"/>
    <w:rsid w:val="00823812"/>
    <w:rsid w:val="00824A16"/>
    <w:rsid w:val="00827B50"/>
    <w:rsid w:val="00831632"/>
    <w:rsid w:val="00831B91"/>
    <w:rsid w:val="00836219"/>
    <w:rsid w:val="00836B8C"/>
    <w:rsid w:val="00837C29"/>
    <w:rsid w:val="00840744"/>
    <w:rsid w:val="00840E02"/>
    <w:rsid w:val="00841EE6"/>
    <w:rsid w:val="00841FD6"/>
    <w:rsid w:val="008463A2"/>
    <w:rsid w:val="0084704D"/>
    <w:rsid w:val="00850559"/>
    <w:rsid w:val="0086015D"/>
    <w:rsid w:val="0086255F"/>
    <w:rsid w:val="0086649E"/>
    <w:rsid w:val="00866933"/>
    <w:rsid w:val="008717CA"/>
    <w:rsid w:val="008768A8"/>
    <w:rsid w:val="00877BA5"/>
    <w:rsid w:val="0089016D"/>
    <w:rsid w:val="00890A84"/>
    <w:rsid w:val="00895F56"/>
    <w:rsid w:val="008A1A48"/>
    <w:rsid w:val="008A3E02"/>
    <w:rsid w:val="008B28C3"/>
    <w:rsid w:val="008B3726"/>
    <w:rsid w:val="008C30F9"/>
    <w:rsid w:val="008C316E"/>
    <w:rsid w:val="008C6C40"/>
    <w:rsid w:val="008D4823"/>
    <w:rsid w:val="008E4D59"/>
    <w:rsid w:val="008E589D"/>
    <w:rsid w:val="008F2F13"/>
    <w:rsid w:val="008F46E9"/>
    <w:rsid w:val="008F49AE"/>
    <w:rsid w:val="008F4A19"/>
    <w:rsid w:val="008F65F5"/>
    <w:rsid w:val="00902C4B"/>
    <w:rsid w:val="00914479"/>
    <w:rsid w:val="00924EA4"/>
    <w:rsid w:val="00925E5B"/>
    <w:rsid w:val="00927975"/>
    <w:rsid w:val="00930AAB"/>
    <w:rsid w:val="009333EA"/>
    <w:rsid w:val="0093362D"/>
    <w:rsid w:val="00934D9A"/>
    <w:rsid w:val="00941C96"/>
    <w:rsid w:val="0094432D"/>
    <w:rsid w:val="00953809"/>
    <w:rsid w:val="00954D13"/>
    <w:rsid w:val="0096339E"/>
    <w:rsid w:val="00970073"/>
    <w:rsid w:val="00971B45"/>
    <w:rsid w:val="0097330B"/>
    <w:rsid w:val="0097419D"/>
    <w:rsid w:val="00977DEF"/>
    <w:rsid w:val="0098345E"/>
    <w:rsid w:val="009928D6"/>
    <w:rsid w:val="009A2506"/>
    <w:rsid w:val="009B4CF6"/>
    <w:rsid w:val="009C0B91"/>
    <w:rsid w:val="009C464A"/>
    <w:rsid w:val="009C6D84"/>
    <w:rsid w:val="009D0CD7"/>
    <w:rsid w:val="009D2960"/>
    <w:rsid w:val="009D2EE7"/>
    <w:rsid w:val="009E0251"/>
    <w:rsid w:val="009E15B6"/>
    <w:rsid w:val="009E5F53"/>
    <w:rsid w:val="009E63C7"/>
    <w:rsid w:val="009F3191"/>
    <w:rsid w:val="009F4099"/>
    <w:rsid w:val="009F7475"/>
    <w:rsid w:val="00A13C6A"/>
    <w:rsid w:val="00A162E0"/>
    <w:rsid w:val="00A1665C"/>
    <w:rsid w:val="00A17F38"/>
    <w:rsid w:val="00A228ED"/>
    <w:rsid w:val="00A2429F"/>
    <w:rsid w:val="00A27409"/>
    <w:rsid w:val="00A32A7D"/>
    <w:rsid w:val="00A36969"/>
    <w:rsid w:val="00A47C57"/>
    <w:rsid w:val="00A52DB5"/>
    <w:rsid w:val="00A64CB1"/>
    <w:rsid w:val="00A72BFA"/>
    <w:rsid w:val="00A770E4"/>
    <w:rsid w:val="00A90155"/>
    <w:rsid w:val="00AA55F1"/>
    <w:rsid w:val="00AA6890"/>
    <w:rsid w:val="00AB230D"/>
    <w:rsid w:val="00AC02D9"/>
    <w:rsid w:val="00AC1B42"/>
    <w:rsid w:val="00AC67F1"/>
    <w:rsid w:val="00AD043A"/>
    <w:rsid w:val="00AD19A8"/>
    <w:rsid w:val="00AD1A72"/>
    <w:rsid w:val="00AD1DB0"/>
    <w:rsid w:val="00AD2C16"/>
    <w:rsid w:val="00AD2CF9"/>
    <w:rsid w:val="00AD405C"/>
    <w:rsid w:val="00AD47D3"/>
    <w:rsid w:val="00AF04F5"/>
    <w:rsid w:val="00AF43D2"/>
    <w:rsid w:val="00B01825"/>
    <w:rsid w:val="00B049F0"/>
    <w:rsid w:val="00B06E6D"/>
    <w:rsid w:val="00B07072"/>
    <w:rsid w:val="00B07E2E"/>
    <w:rsid w:val="00B13BA5"/>
    <w:rsid w:val="00B14D5F"/>
    <w:rsid w:val="00B16A0D"/>
    <w:rsid w:val="00B20663"/>
    <w:rsid w:val="00B23AE0"/>
    <w:rsid w:val="00B25444"/>
    <w:rsid w:val="00B30614"/>
    <w:rsid w:val="00B51017"/>
    <w:rsid w:val="00B6563B"/>
    <w:rsid w:val="00B67247"/>
    <w:rsid w:val="00B71755"/>
    <w:rsid w:val="00B745E1"/>
    <w:rsid w:val="00B80807"/>
    <w:rsid w:val="00B814F9"/>
    <w:rsid w:val="00B82CA7"/>
    <w:rsid w:val="00B83554"/>
    <w:rsid w:val="00B8389B"/>
    <w:rsid w:val="00B8456E"/>
    <w:rsid w:val="00B85C19"/>
    <w:rsid w:val="00BA36BF"/>
    <w:rsid w:val="00BA51FB"/>
    <w:rsid w:val="00BB0182"/>
    <w:rsid w:val="00BB349C"/>
    <w:rsid w:val="00BB368B"/>
    <w:rsid w:val="00BB412C"/>
    <w:rsid w:val="00BB53AF"/>
    <w:rsid w:val="00BB7A46"/>
    <w:rsid w:val="00BC086C"/>
    <w:rsid w:val="00BC2A9E"/>
    <w:rsid w:val="00BC445C"/>
    <w:rsid w:val="00BC79FD"/>
    <w:rsid w:val="00BE2F45"/>
    <w:rsid w:val="00BE6582"/>
    <w:rsid w:val="00BF0EE6"/>
    <w:rsid w:val="00BF1A03"/>
    <w:rsid w:val="00BF2A0D"/>
    <w:rsid w:val="00BF7171"/>
    <w:rsid w:val="00C03864"/>
    <w:rsid w:val="00C0470C"/>
    <w:rsid w:val="00C06067"/>
    <w:rsid w:val="00C06273"/>
    <w:rsid w:val="00C06D89"/>
    <w:rsid w:val="00C077CA"/>
    <w:rsid w:val="00C11245"/>
    <w:rsid w:val="00C121AB"/>
    <w:rsid w:val="00C17AEB"/>
    <w:rsid w:val="00C23E7A"/>
    <w:rsid w:val="00C30A0D"/>
    <w:rsid w:val="00C31EE4"/>
    <w:rsid w:val="00C40716"/>
    <w:rsid w:val="00C41EE1"/>
    <w:rsid w:val="00C4498B"/>
    <w:rsid w:val="00C47B92"/>
    <w:rsid w:val="00C56891"/>
    <w:rsid w:val="00C71460"/>
    <w:rsid w:val="00C71BEF"/>
    <w:rsid w:val="00C71C96"/>
    <w:rsid w:val="00C74081"/>
    <w:rsid w:val="00C75A0D"/>
    <w:rsid w:val="00C75C75"/>
    <w:rsid w:val="00C76F85"/>
    <w:rsid w:val="00C8250B"/>
    <w:rsid w:val="00C864E6"/>
    <w:rsid w:val="00C91C48"/>
    <w:rsid w:val="00CA1B79"/>
    <w:rsid w:val="00CA3205"/>
    <w:rsid w:val="00CB68F8"/>
    <w:rsid w:val="00CC3E99"/>
    <w:rsid w:val="00CC782A"/>
    <w:rsid w:val="00CD0B5B"/>
    <w:rsid w:val="00CD26FC"/>
    <w:rsid w:val="00CE2685"/>
    <w:rsid w:val="00CF1A41"/>
    <w:rsid w:val="00CF34CD"/>
    <w:rsid w:val="00CF5115"/>
    <w:rsid w:val="00CF5383"/>
    <w:rsid w:val="00D02CF0"/>
    <w:rsid w:val="00D141D8"/>
    <w:rsid w:val="00D17A92"/>
    <w:rsid w:val="00D3404F"/>
    <w:rsid w:val="00D34543"/>
    <w:rsid w:val="00D402A0"/>
    <w:rsid w:val="00D40845"/>
    <w:rsid w:val="00D41327"/>
    <w:rsid w:val="00D42D8D"/>
    <w:rsid w:val="00D43E0A"/>
    <w:rsid w:val="00D648CF"/>
    <w:rsid w:val="00D64BCB"/>
    <w:rsid w:val="00D65BA4"/>
    <w:rsid w:val="00D70D83"/>
    <w:rsid w:val="00D71DC4"/>
    <w:rsid w:val="00D73F73"/>
    <w:rsid w:val="00D768D9"/>
    <w:rsid w:val="00D80440"/>
    <w:rsid w:val="00D813A3"/>
    <w:rsid w:val="00D86911"/>
    <w:rsid w:val="00D876E5"/>
    <w:rsid w:val="00D921F9"/>
    <w:rsid w:val="00DA118F"/>
    <w:rsid w:val="00DA3E60"/>
    <w:rsid w:val="00DA4FCD"/>
    <w:rsid w:val="00DC0D15"/>
    <w:rsid w:val="00DC1158"/>
    <w:rsid w:val="00DC5E6E"/>
    <w:rsid w:val="00DC7198"/>
    <w:rsid w:val="00DD42F4"/>
    <w:rsid w:val="00DD6008"/>
    <w:rsid w:val="00DE4B1E"/>
    <w:rsid w:val="00DE5C69"/>
    <w:rsid w:val="00DF419F"/>
    <w:rsid w:val="00DF4452"/>
    <w:rsid w:val="00E02E33"/>
    <w:rsid w:val="00E048A2"/>
    <w:rsid w:val="00E04C1F"/>
    <w:rsid w:val="00E04D8F"/>
    <w:rsid w:val="00E142F5"/>
    <w:rsid w:val="00E14ABE"/>
    <w:rsid w:val="00E1543F"/>
    <w:rsid w:val="00E15DD1"/>
    <w:rsid w:val="00E1650E"/>
    <w:rsid w:val="00E172AB"/>
    <w:rsid w:val="00E30DB7"/>
    <w:rsid w:val="00E40FAE"/>
    <w:rsid w:val="00E4234F"/>
    <w:rsid w:val="00E52FA0"/>
    <w:rsid w:val="00E57309"/>
    <w:rsid w:val="00E574CD"/>
    <w:rsid w:val="00E617B3"/>
    <w:rsid w:val="00E83182"/>
    <w:rsid w:val="00E84CEF"/>
    <w:rsid w:val="00E8660E"/>
    <w:rsid w:val="00E92C5A"/>
    <w:rsid w:val="00E9644D"/>
    <w:rsid w:val="00EA1F38"/>
    <w:rsid w:val="00EB6ADE"/>
    <w:rsid w:val="00EC4222"/>
    <w:rsid w:val="00ED4204"/>
    <w:rsid w:val="00ED7493"/>
    <w:rsid w:val="00EE0514"/>
    <w:rsid w:val="00EE1D7C"/>
    <w:rsid w:val="00EE454A"/>
    <w:rsid w:val="00EE6910"/>
    <w:rsid w:val="00EF1C78"/>
    <w:rsid w:val="00EF4243"/>
    <w:rsid w:val="00EF43AA"/>
    <w:rsid w:val="00EF7213"/>
    <w:rsid w:val="00F017F8"/>
    <w:rsid w:val="00F03BE7"/>
    <w:rsid w:val="00F045B4"/>
    <w:rsid w:val="00F0559B"/>
    <w:rsid w:val="00F05927"/>
    <w:rsid w:val="00F05E1F"/>
    <w:rsid w:val="00F07E39"/>
    <w:rsid w:val="00F11D3C"/>
    <w:rsid w:val="00F120CC"/>
    <w:rsid w:val="00F13C17"/>
    <w:rsid w:val="00F14794"/>
    <w:rsid w:val="00F20DDD"/>
    <w:rsid w:val="00F2112C"/>
    <w:rsid w:val="00F23E7A"/>
    <w:rsid w:val="00F324A2"/>
    <w:rsid w:val="00F3556F"/>
    <w:rsid w:val="00F360F9"/>
    <w:rsid w:val="00F42AB4"/>
    <w:rsid w:val="00F50C78"/>
    <w:rsid w:val="00F51753"/>
    <w:rsid w:val="00F53ABC"/>
    <w:rsid w:val="00F556AF"/>
    <w:rsid w:val="00F56C40"/>
    <w:rsid w:val="00F62E3D"/>
    <w:rsid w:val="00F62F72"/>
    <w:rsid w:val="00F67485"/>
    <w:rsid w:val="00F707A9"/>
    <w:rsid w:val="00F802C0"/>
    <w:rsid w:val="00F84D97"/>
    <w:rsid w:val="00F868AF"/>
    <w:rsid w:val="00F97DE3"/>
    <w:rsid w:val="00FA3068"/>
    <w:rsid w:val="00FB27E9"/>
    <w:rsid w:val="00FB329F"/>
    <w:rsid w:val="00FD19E0"/>
    <w:rsid w:val="00FD3800"/>
    <w:rsid w:val="00FD5199"/>
    <w:rsid w:val="00FD6D6A"/>
    <w:rsid w:val="00FD7A49"/>
    <w:rsid w:val="00FE7C22"/>
    <w:rsid w:val="00FF031A"/>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rsid w:val="00DF4452"/>
    <w:rPr>
      <w:sz w:val="16"/>
      <w:szCs w:val="16"/>
    </w:rPr>
  </w:style>
  <w:style w:type="paragraph" w:styleId="Textocomentario">
    <w:name w:val="annotation text"/>
    <w:basedOn w:val="Normal"/>
    <w:link w:val="TextocomentarioCar"/>
    <w:rsid w:val="00DF4452"/>
    <w:rPr>
      <w:sz w:val="20"/>
      <w:szCs w:val="20"/>
    </w:rPr>
  </w:style>
  <w:style w:type="character" w:customStyle="1" w:styleId="TextocomentarioCar">
    <w:name w:val="Texto comentario Car"/>
    <w:basedOn w:val="Fuentedeprrafopredeter"/>
    <w:link w:val="Textocomentario"/>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rsid w:val="00DF4452"/>
    <w:rPr>
      <w:sz w:val="16"/>
      <w:szCs w:val="16"/>
    </w:rPr>
  </w:style>
  <w:style w:type="paragraph" w:styleId="Textocomentario">
    <w:name w:val="annotation text"/>
    <w:basedOn w:val="Normal"/>
    <w:link w:val="TextocomentarioCar"/>
    <w:rsid w:val="00DF4452"/>
    <w:rPr>
      <w:sz w:val="20"/>
      <w:szCs w:val="20"/>
    </w:rPr>
  </w:style>
  <w:style w:type="character" w:customStyle="1" w:styleId="TextocomentarioCar">
    <w:name w:val="Texto comentario Car"/>
    <w:basedOn w:val="Fuentedeprrafopredeter"/>
    <w:link w:val="Textocomentario"/>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9648">
      <w:bodyDiv w:val="1"/>
      <w:marLeft w:val="0"/>
      <w:marRight w:val="0"/>
      <w:marTop w:val="0"/>
      <w:marBottom w:val="0"/>
      <w:divBdr>
        <w:top w:val="none" w:sz="0" w:space="0" w:color="auto"/>
        <w:left w:val="none" w:sz="0" w:space="0" w:color="auto"/>
        <w:bottom w:val="none" w:sz="0" w:space="0" w:color="auto"/>
        <w:right w:val="none" w:sz="0" w:space="0" w:color="auto"/>
      </w:divBdr>
    </w:div>
    <w:div w:id="297953019">
      <w:bodyDiv w:val="1"/>
      <w:marLeft w:val="0"/>
      <w:marRight w:val="0"/>
      <w:marTop w:val="0"/>
      <w:marBottom w:val="0"/>
      <w:divBdr>
        <w:top w:val="none" w:sz="0" w:space="0" w:color="auto"/>
        <w:left w:val="none" w:sz="0" w:space="0" w:color="auto"/>
        <w:bottom w:val="none" w:sz="0" w:space="0" w:color="auto"/>
        <w:right w:val="none" w:sz="0" w:space="0" w:color="auto"/>
      </w:divBdr>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DescripcionComunicado xmlns="b9fc4df0-8f56-46e7-b005-54afe0044df7">•	Se observa un incremento en el costo de los siniestros
•	Con la nueva ley de tránsito la CCSS también tiene mayores opciones para recuperar costos de atención de asegurados
</DescripcionComunicado>
    <StartDate xmlns="http://schemas.microsoft.com/sharepoint/v3">2018-11-08T06:00:00+00:00</StartDate>
    <MostrarSiempre xmlns="b9fc4df0-8f56-46e7-b005-54afe0044df7">No</MostrarSiempre>
  </documentManagement>
</p:properties>
</file>

<file path=customXml/itemProps1.xml><?xml version="1.0" encoding="utf-8"?>
<ds:datastoreItem xmlns:ds="http://schemas.openxmlformats.org/officeDocument/2006/customXml" ds:itemID="{79C6EB09-4314-4765-87A5-86D5FC6B33E4}"/>
</file>

<file path=customXml/itemProps2.xml><?xml version="1.0" encoding="utf-8"?>
<ds:datastoreItem xmlns:ds="http://schemas.openxmlformats.org/officeDocument/2006/customXml" ds:itemID="{6E4A9516-EF65-4F5D-8DD8-97AABE6BF381}"/>
</file>

<file path=customXml/itemProps3.xml><?xml version="1.0" encoding="utf-8"?>
<ds:datastoreItem xmlns:ds="http://schemas.openxmlformats.org/officeDocument/2006/customXml" ds:itemID="{D2252AAE-7861-4827-AC90-819BF19AA24A}"/>
</file>

<file path=customXml/itemProps4.xml><?xml version="1.0" encoding="utf-8"?>
<ds:datastoreItem xmlns:ds="http://schemas.openxmlformats.org/officeDocument/2006/customXml" ds:itemID="{4728C3DD-353B-4722-AE18-C00CFD9251D7}"/>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Olivier Castro P</vt:lpstr>
    </vt:vector>
  </TitlesOfParts>
  <Company>Superintendencia de Pensiones</Company>
  <LinksUpToDate>false</LinksUpToDate>
  <CharactersWithSpaces>3433</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Sugese autoriza tarifas del SOA para el 2013</dc:title>
  <dc:creator>Gerardo Ortega Aguilar</dc:creator>
  <cp:lastModifiedBy>MOLINA LOPEZ MELISSA</cp:lastModifiedBy>
  <cp:revision>4</cp:revision>
  <cp:lastPrinted>2011-12-06T18:23:00Z</cp:lastPrinted>
  <dcterms:created xsi:type="dcterms:W3CDTF">2012-11-09T15:15:00Z</dcterms:created>
  <dcterms:modified xsi:type="dcterms:W3CDTF">2012-11-13T22:21:00Z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2012-11-07T06:00:00Z</vt:filetime>
  </property>
  <property fmtid="{D5CDD505-2E9C-101B-9397-08002B2CF9AE}" pid="4" name="TipoContenido">
    <vt:lpwstr>3</vt:lpwstr>
  </property>
  <property fmtid="{D5CDD505-2E9C-101B-9397-08002B2CF9AE}" pid="5" name="ContenidoMultilineaHTML">
    <vt:lpwstr>•	Se observa un incremento en el costo de los siniestros
•	Con la nueva ley de tránsito la CCSS también tiene mayores opciones para recuperar costos de atención de asegurados
</vt:lpwstr>
  </property>
</Properties>
</file>